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A365D"/>
          <w:sz w:val="40"/>
        </w:rPr>
        <w:t>Learner Demographics and Course Enrollment Behavior Analysis on EduPro: An Exploratory Data Analytics and Business Intelligence Approach</w:t>
      </w:r>
    </w:p>
    <w:p>
      <w:pPr>
        <w:spacing w:after="80"/>
        <w:jc w:val="center"/>
      </w:pPr>
      <w:r>
        <w:rPr>
          <w:rFonts w:ascii="Times New Roman" w:hAnsi="Times New Roman"/>
          <w:b/>
          <w:color w:val="2B6CB0"/>
          <w:sz w:val="26"/>
        </w:rPr>
        <w:t>Cheerla Minesh</w:t>
      </w:r>
    </w:p>
    <w:p>
      <w:pPr>
        <w:spacing w:after="360"/>
        <w:jc w:val="center"/>
      </w:pPr>
      <w:r>
        <w:rPr>
          <w:rFonts w:ascii="Times New Roman" w:hAnsi="Times New Roman"/>
          <w:i/>
          <w:color w:val="2D3748"/>
          <w:sz w:val="20"/>
        </w:rPr>
        <w:t>Department of Computer Science and Engineering</w:t>
        <w:br/>
        <w:t>Jawaharlal Nehru Technological University, Kakinada (JNTUK)</w:t>
        <w:br/>
        <w:t>Unified Mentor Pvt. Ltd.</w:t>
      </w:r>
    </w:p>
    <w:p>
      <w:pPr>
        <w:spacing w:before="320" w:after="120"/>
      </w:pPr>
      <w:r>
        <w:rPr>
          <w:rFonts w:ascii="Times New Roman" w:hAnsi="Times New Roman"/>
          <w:b/>
          <w:color w:val="1A365D"/>
          <w:sz w:val="28"/>
        </w:rPr>
        <w:t>CERTIFICATE</w:t>
      </w:r>
    </w:p>
    <w:p>
      <w:pPr>
        <w:spacing w:after="120" w:line="276" w:lineRule="auto"/>
        <w:jc w:val="both"/>
      </w:pPr>
      <w:r>
        <w:rPr>
          <w:rFonts w:ascii="Times New Roman" w:hAnsi="Times New Roman"/>
          <w:sz w:val="20"/>
        </w:rPr>
        <w:t>This is to certify that the project report entitled "Learner Demographics and Course Enrollment Behavior Analysis on EduPro" submitted by Cheerla Minesh in partial fulfillment of the requirements for the internship assessment at Unified Mentor Pvt. Ltd. is an authentic record of work carried out under scientific supervision and guidance.</w:t>
      </w:r>
    </w:p>
    <w:p>
      <w:pPr>
        <w:spacing w:before="320" w:after="120"/>
      </w:pPr>
      <w:r>
        <w:rPr>
          <w:rFonts w:ascii="Times New Roman" w:hAnsi="Times New Roman"/>
          <w:b/>
          <w:color w:val="1A365D"/>
          <w:sz w:val="28"/>
        </w:rPr>
        <w:t>DECLARATION</w:t>
      </w:r>
    </w:p>
    <w:p>
      <w:pPr>
        <w:spacing w:after="120" w:line="276" w:lineRule="auto"/>
        <w:jc w:val="both"/>
      </w:pPr>
      <w:r>
        <w:rPr>
          <w:rFonts w:ascii="Times New Roman" w:hAnsi="Times New Roman"/>
          <w:sz w:val="20"/>
        </w:rPr>
        <w:t>I hereby declare that the research work presented in this paper entitled "Learner Demographics and Course Enrollment Behavior Analysis on EduPro" is an authentic record of my own work conducted under the guidance of Unified Mentor Pvt. Ltd. This work has not been submitted elsewhere for the award of any degree, diploma, or publication.</w:t>
      </w:r>
    </w:p>
    <w:p>
      <w:pPr>
        <w:spacing w:before="320" w:after="120"/>
      </w:pPr>
      <w:r>
        <w:rPr>
          <w:rFonts w:ascii="Times New Roman" w:hAnsi="Times New Roman"/>
          <w:b/>
          <w:color w:val="1A365D"/>
          <w:sz w:val="28"/>
        </w:rPr>
        <w:t>ACKNOWLEDGEMENT</w:t>
      </w:r>
    </w:p>
    <w:p>
      <w:pPr>
        <w:spacing w:after="120" w:line="276" w:lineRule="auto"/>
        <w:jc w:val="both"/>
      </w:pPr>
      <w:r>
        <w:rPr>
          <w:rFonts w:ascii="Times New Roman" w:hAnsi="Times New Roman"/>
          <w:sz w:val="20"/>
        </w:rPr>
        <w:t>I express my deep gratitude to Unified Mentor Pvt. Ltd. for providing the opportunity and infrastructure to work on real-world Educational Data Mining (EDM) and Learning Analytics (LA) datasets. I sincerely thank my project mentors and the faculty members at Jawaharlal Nehru Technological University, Kakinada (JNTUK) for their valuable suggestions, structured feedback, and continuous support throughout the development of this research and interactive dashboard framework.</w:t>
      </w:r>
    </w:p>
    <w:p>
      <w:r>
        <w:br w:type="page"/>
      </w:r>
    </w:p>
    <w:p>
      <w:pPr>
        <w:spacing w:before="320" w:after="120"/>
      </w:pPr>
      <w:r>
        <w:rPr>
          <w:rFonts w:ascii="Times New Roman" w:hAnsi="Times New Roman"/>
          <w:b/>
          <w:color w:val="1A365D"/>
          <w:sz w:val="28"/>
        </w:rPr>
        <w:t>ABSTRACT</w:t>
      </w:r>
    </w:p>
    <w:p>
      <w:pPr>
        <w:spacing w:after="120" w:line="276" w:lineRule="auto"/>
        <w:jc w:val="both"/>
      </w:pPr>
      <w:r>
        <w:rPr>
          <w:rFonts w:ascii="Times New Roman" w:hAnsi="Times New Roman"/>
          <w:sz w:val="20"/>
        </w:rPr>
        <w:t>Online learning platforms generate large-scale transactional and demographic datasets that hold valuable insights into student engagement, course preferences, and enrollment behavior. This research presents a comprehensive Exploratory Data Analysis (EDA) and Business Intelligence (BI) framework applied to EduPro, an enterprise e-learning platform. Utilizing a unified dataset constructed from relational schemas containing user profiles, course metadata, and transaction records, we investigate learner demographic distributions and course selection patterns.</w:t>
      </w:r>
    </w:p>
    <w:p>
      <w:pPr>
        <w:spacing w:after="120" w:line="276" w:lineRule="auto"/>
        <w:jc w:val="both"/>
      </w:pPr>
      <w:r>
        <w:rPr>
          <w:rFonts w:ascii="Times New Roman" w:hAnsi="Times New Roman"/>
          <w:sz w:val="20"/>
        </w:rPr>
        <w:t>Our methodological framework includes automated data quality auditing, feature engineering (including age group stratification), mathematical formulation of analytics metrics, and interactive visualization via a web-based Streamlit dashboard powered by Plotly. Through descriptive and diagnostic analytics, we identify critical learner behaviors: enrollment concentration across course categories, progression preferences from beginner to advanced levels, gender participation ratios, and age-based engagement trends.</w:t>
      </w:r>
    </w:p>
    <w:p>
      <w:pPr>
        <w:spacing w:after="120" w:line="276" w:lineRule="auto"/>
        <w:jc w:val="both"/>
      </w:pPr>
      <w:r>
        <w:rPr>
          <w:rFonts w:ascii="Times New Roman" w:hAnsi="Times New Roman"/>
          <w:sz w:val="20"/>
        </w:rPr>
        <w:t>The findings show that enrollment density is strongly skewed toward technical skill acquisition among early-career demographics, while advanced courses experience higher drop-off rates despite strong initial interest. Based on these findings, we offer 20 actionable business insights and 20 strategic recommendations to help educational platform administrators optimize curriculum design, targeted marketing, and platform usability.</w:t>
      </w:r>
    </w:p>
    <w:p>
      <w:pPr>
        <w:spacing w:after="120" w:line="276" w:lineRule="auto"/>
        <w:jc w:val="both"/>
      </w:pPr>
      <w:r>
        <w:rPr>
          <w:rFonts w:ascii="Times New Roman" w:hAnsi="Times New Roman"/>
          <w:b/>
          <w:sz w:val="20"/>
        </w:rPr>
        <w:t xml:space="preserve">Keywords: </w:t>
      </w:r>
      <w:r>
        <w:rPr>
          <w:rFonts w:ascii="Times New Roman" w:hAnsi="Times New Roman"/>
          <w:sz w:val="20"/>
        </w:rPr>
        <w:t>Educational Data Mining, Learning Analytics, Exploratory Data Analysis, Business Intelligence, Streamlit, Learner Demographics, Course Enrollment Behavior.</w:t>
      </w:r>
    </w:p>
    <w:p>
      <w:pPr>
        <w:spacing w:before="320" w:after="120"/>
      </w:pPr>
      <w:r>
        <w:rPr>
          <w:rFonts w:ascii="Times New Roman" w:hAnsi="Times New Roman"/>
          <w:b/>
          <w:color w:val="1A365D"/>
          <w:sz w:val="28"/>
        </w:rPr>
        <w:t>1. INTRODUCTION</w:t>
      </w:r>
    </w:p>
    <w:p>
      <w:pPr>
        <w:spacing w:before="240" w:after="80"/>
      </w:pPr>
      <w:r>
        <w:rPr>
          <w:rFonts w:ascii="Times New Roman" w:hAnsi="Times New Roman"/>
          <w:b/>
          <w:color w:val="2B6CB0"/>
          <w:sz w:val="24"/>
        </w:rPr>
        <w:t>1.1 Background</w:t>
      </w:r>
    </w:p>
    <w:p>
      <w:pPr>
        <w:spacing w:after="120" w:line="276" w:lineRule="auto"/>
        <w:jc w:val="both"/>
      </w:pPr>
      <w:r>
        <w:rPr>
          <w:rFonts w:ascii="Times New Roman" w:hAnsi="Times New Roman"/>
          <w:sz w:val="20"/>
        </w:rPr>
        <w:t>The digital transformation of higher education and professional skill development has led to widespread adoption of Massive Open Online Courses (MOOCs) and specialized e-learning platforms. Educational platforms record diverse data interactions, including registration profiles, clickstream logs, course enrollments, and payment transactions. Educational Data Mining (EDM) and Learning Analytics (LA) use these digital footprints to better understand learner needs, optimize platform interfaces, and improve educational outcomes.</w:t>
      </w:r>
    </w:p>
    <w:p>
      <w:pPr>
        <w:spacing w:before="240" w:after="80"/>
      </w:pPr>
      <w:r>
        <w:rPr>
          <w:rFonts w:ascii="Times New Roman" w:hAnsi="Times New Roman"/>
          <w:b/>
          <w:color w:val="2B6CB0"/>
          <w:sz w:val="24"/>
        </w:rPr>
        <w:t>1.2 Problem Statement</w:t>
      </w:r>
    </w:p>
    <w:p>
      <w:pPr>
        <w:spacing w:after="120" w:line="276" w:lineRule="auto"/>
        <w:jc w:val="both"/>
      </w:pPr>
      <w:r>
        <w:rPr>
          <w:rFonts w:ascii="Times New Roman" w:hAnsi="Times New Roman"/>
          <w:sz w:val="20"/>
        </w:rPr>
        <w:t>Despite high enrollment numbers on modern e-learning platforms, platform operators often struggle with low course completion rates, uneven subject demand, and suboptimal learner retention. Broad marketing strategies often fail because they treat diverse learner demographics as a single, uniform group. Without clear descriptive analytics mapping learner age and gender profiles to specific course levels and categories, educational platforms risk misallocating resource investments and missing opportunities to improve student engagement.</w:t>
      </w:r>
    </w:p>
    <w:p>
      <w:pPr>
        <w:spacing w:before="240" w:after="80"/>
      </w:pPr>
      <w:r>
        <w:rPr>
          <w:rFonts w:ascii="Times New Roman" w:hAnsi="Times New Roman"/>
          <w:b/>
          <w:color w:val="2B6CB0"/>
          <w:sz w:val="24"/>
        </w:rPr>
        <w:t>1.3 Need for Study</w:t>
      </w:r>
    </w:p>
    <w:p>
      <w:pPr>
        <w:spacing w:after="120" w:line="276" w:lineRule="auto"/>
        <w:jc w:val="both"/>
      </w:pPr>
      <w:r>
        <w:rPr>
          <w:rFonts w:ascii="Times New Roman" w:hAnsi="Times New Roman"/>
          <w:sz w:val="20"/>
        </w:rPr>
        <w:t>Understanding who learns and how they choose courses is essential for designing effective digital curricula. While predictive modeling and automated recommendation engines are common in e-learning platforms, they require high-quality exploratory data analysis to build reliable feature sets. Analyzing raw demographic and transactional data into clear business intelligence indicators helps bridge the gap between platform architecture and student user experience.</w:t>
      </w:r>
    </w:p>
    <w:p>
      <w:pPr>
        <w:spacing w:before="240" w:after="80"/>
      </w:pPr>
      <w:r>
        <w:rPr>
          <w:rFonts w:ascii="Times New Roman" w:hAnsi="Times New Roman"/>
          <w:b/>
          <w:color w:val="2B6CB0"/>
          <w:sz w:val="24"/>
        </w:rPr>
        <w:t>1.4 Motivation</w:t>
      </w:r>
    </w:p>
    <w:p>
      <w:pPr>
        <w:spacing w:after="120" w:line="276" w:lineRule="auto"/>
        <w:jc w:val="both"/>
      </w:pPr>
      <w:r>
        <w:rPr>
          <w:rFonts w:ascii="Times New Roman" w:hAnsi="Times New Roman"/>
          <w:sz w:val="20"/>
        </w:rPr>
        <w:t>This study is motivated by the need to build a transparent, interactive business intelligence tool for platform administrators at EduPro. Rather than using opaque black-box machine learning algorithms, platform managers need actionable insights into real-time enrollment dynamics, data quality metrics, and audience segmentation to make informed strategic decisions.</w:t>
      </w:r>
    </w:p>
    <w:p>
      <w:pPr>
        <w:spacing w:before="240" w:after="80"/>
      </w:pPr>
      <w:r>
        <w:rPr>
          <w:rFonts w:ascii="Times New Roman" w:hAnsi="Times New Roman"/>
          <w:b/>
          <w:color w:val="2B6CB0"/>
          <w:sz w:val="24"/>
        </w:rPr>
        <w:t>1.5 Objectives</w:t>
      </w:r>
    </w:p>
    <w:p>
      <w:pPr>
        <w:spacing w:after="120" w:line="276" w:lineRule="auto"/>
        <w:jc w:val="both"/>
      </w:pPr>
      <w:r>
        <w:rPr>
          <w:rFonts w:ascii="Times New Roman" w:hAnsi="Times New Roman"/>
          <w:b/>
          <w:sz w:val="20"/>
        </w:rPr>
        <w:t xml:space="preserve">1. Demographic Stratification: </w:t>
      </w:r>
      <w:r>
        <w:rPr>
          <w:rFonts w:ascii="Times New Roman" w:hAnsi="Times New Roman"/>
          <w:sz w:val="20"/>
        </w:rPr>
        <w:t>Analyze age distribution, gender participation, and geographic/cohort demographics among EduPro learners.</w:t>
      </w:r>
    </w:p>
    <w:p>
      <w:pPr>
        <w:spacing w:after="120" w:line="276" w:lineRule="auto"/>
        <w:jc w:val="both"/>
      </w:pPr>
      <w:r>
        <w:rPr>
          <w:rFonts w:ascii="Times New Roman" w:hAnsi="Times New Roman"/>
          <w:b/>
          <w:sz w:val="20"/>
        </w:rPr>
        <w:t xml:space="preserve">2. Enrollment Pattern Identification: </w:t>
      </w:r>
      <w:r>
        <w:rPr>
          <w:rFonts w:ascii="Times New Roman" w:hAnsi="Times New Roman"/>
          <w:sz w:val="20"/>
        </w:rPr>
        <w:t>Evaluate course category popularity, course level preferences (Beginner vs. Intermediate vs. Advanced), and transaction frequency distributions.</w:t>
      </w:r>
    </w:p>
    <w:p>
      <w:pPr>
        <w:spacing w:after="120" w:line="276" w:lineRule="auto"/>
        <w:jc w:val="both"/>
      </w:pPr>
      <w:r>
        <w:rPr>
          <w:rFonts w:ascii="Times New Roman" w:hAnsi="Times New Roman"/>
          <w:b/>
          <w:sz w:val="20"/>
        </w:rPr>
        <w:t xml:space="preserve">3. Data Integration &amp; Quality Auditing: </w:t>
      </w:r>
      <w:r>
        <w:rPr>
          <w:rFonts w:ascii="Times New Roman" w:hAnsi="Times New Roman"/>
          <w:sz w:val="20"/>
        </w:rPr>
        <w:t>Merge relational user, course, and transaction datasets into a unified schema while auditing missing records, duplicates, and anomaly profiles.</w:t>
      </w:r>
    </w:p>
    <w:p>
      <w:pPr>
        <w:spacing w:after="120" w:line="276" w:lineRule="auto"/>
        <w:jc w:val="both"/>
      </w:pPr>
      <w:r>
        <w:rPr>
          <w:rFonts w:ascii="Times New Roman" w:hAnsi="Times New Roman"/>
          <w:b/>
          <w:sz w:val="20"/>
        </w:rPr>
        <w:t xml:space="preserve">4. Mathematical Modeling: </w:t>
      </w:r>
      <w:r>
        <w:rPr>
          <w:rFonts w:ascii="Times New Roman" w:hAnsi="Times New Roman"/>
          <w:sz w:val="20"/>
        </w:rPr>
        <w:t>Formalize quantitative formulas for business metrics, including Category Popularity Index (CPI), Active User Ratio (AUR), and Enrollment Concentration (EC).</w:t>
      </w:r>
    </w:p>
    <w:p>
      <w:pPr>
        <w:spacing w:after="120" w:line="276" w:lineRule="auto"/>
        <w:jc w:val="both"/>
      </w:pPr>
      <w:r>
        <w:rPr>
          <w:rFonts w:ascii="Times New Roman" w:hAnsi="Times New Roman"/>
          <w:b/>
          <w:sz w:val="20"/>
        </w:rPr>
        <w:t xml:space="preserve">5. Interactive Dashboard Architecture: </w:t>
      </w:r>
      <w:r>
        <w:rPr>
          <w:rFonts w:ascii="Times New Roman" w:hAnsi="Times New Roman"/>
          <w:sz w:val="20"/>
        </w:rPr>
        <w:t>Design and deploy a lightweight, web-accessible dashboard using Streamlit and Plotly to support decision-making.</w:t>
      </w:r>
    </w:p>
    <w:p>
      <w:pPr>
        <w:spacing w:after="120" w:line="276" w:lineRule="auto"/>
        <w:jc w:val="both"/>
      </w:pPr>
      <w:r>
        <w:rPr>
          <w:rFonts w:ascii="Times New Roman" w:hAnsi="Times New Roman"/>
          <w:b/>
          <w:sz w:val="20"/>
        </w:rPr>
        <w:t xml:space="preserve">6. Strategic Business Insights &amp; Recommendations: </w:t>
      </w:r>
      <w:r>
        <w:rPr>
          <w:rFonts w:ascii="Times New Roman" w:hAnsi="Times New Roman"/>
          <w:sz w:val="20"/>
        </w:rPr>
        <w:t>Deliver actionable, data-backed strategies to guide curriculum development, user experience design, and platform growth.</w:t>
      </w:r>
    </w:p>
    <w:p>
      <w:pPr>
        <w:spacing w:before="240" w:after="80"/>
      </w:pPr>
      <w:r>
        <w:rPr>
          <w:rFonts w:ascii="Times New Roman" w:hAnsi="Times New Roman"/>
          <w:b/>
          <w:color w:val="2B6CB0"/>
          <w:sz w:val="24"/>
        </w:rPr>
        <w:t>1.6 Research Questions</w:t>
      </w:r>
    </w:p>
    <w:p>
      <w:pPr>
        <w:spacing w:after="120" w:line="276" w:lineRule="auto"/>
        <w:jc w:val="both"/>
      </w:pPr>
      <w:r>
        <w:rPr>
          <w:rFonts w:ascii="Times New Roman" w:hAnsi="Times New Roman"/>
          <w:b/>
          <w:sz w:val="20"/>
        </w:rPr>
        <w:t xml:space="preserve">RQ1: </w:t>
      </w:r>
      <w:r>
        <w:rPr>
          <w:rFonts w:ascii="Times New Roman" w:hAnsi="Times New Roman"/>
          <w:sz w:val="20"/>
        </w:rPr>
        <w:t>How do age and gender demographics influence course category and difficulty level selection on online learning platforms?</w:t>
      </w:r>
    </w:p>
    <w:p>
      <w:pPr>
        <w:spacing w:after="120" w:line="276" w:lineRule="auto"/>
        <w:jc w:val="both"/>
      </w:pPr>
      <w:r>
        <w:rPr>
          <w:rFonts w:ascii="Times New Roman" w:hAnsi="Times New Roman"/>
          <w:b/>
          <w:sz w:val="20"/>
        </w:rPr>
        <w:t xml:space="preserve">RQ2: </w:t>
      </w:r>
      <w:r>
        <w:rPr>
          <w:rFonts w:ascii="Times New Roman" w:hAnsi="Times New Roman"/>
          <w:sz w:val="20"/>
        </w:rPr>
        <w:t>What structural patterns emerge when evaluating course enrollment concentration and repeat transaction behavior among active learners?</w:t>
      </w:r>
    </w:p>
    <w:p>
      <w:pPr>
        <w:spacing w:after="120" w:line="276" w:lineRule="auto"/>
        <w:jc w:val="both"/>
      </w:pPr>
      <w:r>
        <w:rPr>
          <w:rFonts w:ascii="Times New Roman" w:hAnsi="Times New Roman"/>
          <w:b/>
          <w:sz w:val="20"/>
        </w:rPr>
        <w:t xml:space="preserve">RQ3: </w:t>
      </w:r>
      <w:r>
        <w:rPr>
          <w:rFonts w:ascii="Times New Roman" w:hAnsi="Times New Roman"/>
          <w:sz w:val="20"/>
        </w:rPr>
        <w:t>How can an interactive data analytics dashboard improve data quality visibility and support operational decision-making for platform administrators?</w:t>
      </w:r>
    </w:p>
    <w:p>
      <w:pPr>
        <w:spacing w:before="240" w:after="80"/>
      </w:pPr>
      <w:r>
        <w:rPr>
          <w:rFonts w:ascii="Times New Roman" w:hAnsi="Times New Roman"/>
          <w:b/>
          <w:color w:val="2B6CB0"/>
          <w:sz w:val="24"/>
        </w:rPr>
        <w:t>1.7 Scope</w:t>
      </w:r>
    </w:p>
    <w:p>
      <w:pPr>
        <w:spacing w:after="120" w:line="276" w:lineRule="auto"/>
        <w:jc w:val="both"/>
      </w:pPr>
      <w:r>
        <w:rPr>
          <w:rFonts w:ascii="Times New Roman" w:hAnsi="Times New Roman"/>
          <w:sz w:val="20"/>
        </w:rPr>
        <w:t>The scope of this research is limited to descriptive and diagnostic analytics of historical enrollment transactions on the EduPro platform. It does not cover predictive machine learning models or real-time recommendation engines. The software implementation uses Python-based data processing libraries, wrapped in a Streamlit interface for administrative decision support.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