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4" w:name="X4f1f71f1e20f650aac53819cf0d1b964b387b34"/>
    <w:p>
      <w:pPr>
        <w:pStyle w:val="Heading1"/>
      </w:pPr>
      <w:r>
        <w:t xml:space="preserve">A Evolução do JavaEE para Jakarta EE: Impacto e Relevância em Sistemas Bancários e de Varejo</w:t>
      </w:r>
    </w:p>
    <w:p>
      <w:pPr>
        <w:pStyle w:val="FirstParagraph"/>
      </w:pPr>
      <w:r>
        <w:rPr>
          <w:i/>
          <w:iCs/>
        </w:rPr>
        <w:t xml:space="preserve">Por Christian Mulato | 05 de Outubro de 2025 | Categoria: Java &amp; Arquitetura</w:t>
      </w:r>
    </w:p>
    <w:p>
      <w:pPr>
        <w:pStyle w:val="CaptionedFigure"/>
      </w:pPr>
      <w:r>
        <w:drawing>
          <wp:inline>
            <wp:extent cx="5334000" cy="2909454"/>
            <wp:effectExtent b="0" l="0" r="0" t="0"/>
            <wp:docPr descr="História do JavaEE para Jakarta EE" title="" id="10" name="Picture"/>
            <a:graphic>
              <a:graphicData uri="http://schemas.openxmlformats.org/drawingml/2006/picture">
                <pic:pic>
                  <pic:nvPicPr>
                    <pic:cNvPr descr="c:/dev/personal_articles/articles/assets/img/2025_10_05_IMAGE_001.png" id="11" name="Picture"/>
                    <pic:cNvPicPr>
                      <a:picLocks noChangeArrowheads="1" noChangeAspect="1"/>
                    </pic:cNvPicPr>
                  </pic:nvPicPr>
                  <pic:blipFill>
                    <a:blip r:embed="rId9"/>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História do JavaEE para Jakarta EE</w:t>
      </w:r>
    </w:p>
    <w:bookmarkStart w:id="12" w:name="introdução"/>
    <w:p>
      <w:pPr>
        <w:pStyle w:val="Heading2"/>
      </w:pPr>
      <w:r>
        <w:t xml:space="preserve">Introdução</w:t>
      </w:r>
    </w:p>
    <w:p>
      <w:pPr>
        <w:pStyle w:val="FirstParagraph"/>
      </w:pPr>
      <w:r>
        <w:t xml:space="preserve">O universo do desenvolvimento empresarial Java passou por uma transformação significativa ao longo das últimas duas décadas. O que começou como J2EE (Java 2 Enterprise Edition) evoluiu para JavaEE (Java Enterprise Edition) e agora continua seu legado como Jakarta EE. Esta plataforma empresarial robusta continua sendo a espinha dorsal de inúmeros sistemas críticos, especialmente nos setores bancário e de varejo, onde confiabilidade, segurança e escalabilidade são requisitos fundamentais.</w:t>
      </w:r>
    </w:p>
    <w:p>
      <w:pPr>
        <w:pStyle w:val="BodyText"/>
      </w:pPr>
      <w:r>
        <w:t xml:space="preserve">Neste artigo, exploraremos a jornada histórica desta tecnologia, entenderemos o que motivou sua transição para Jakarta EE, e analisaremos como ela permanece relevante no cenário atual de desenvolvimento de software corporativo, com foco especial em aplicações bancárias e de varejo.</w:t>
      </w:r>
    </w:p>
    <w:bookmarkEnd w:id="12"/>
    <w:bookmarkStart w:id="16" w:name="X0cd1d5de4740af622bc46ceaede1f6625b48ffa"/>
    <w:p>
      <w:pPr>
        <w:pStyle w:val="Heading2"/>
      </w:pPr>
      <w:r>
        <w:t xml:space="preserve">A Trajetória Histórica: Do J2EE ao Jakarta EE</w:t>
      </w:r>
    </w:p>
    <w:bookmarkStart w:id="13" w:name="as-origens-j2ee-1999-2006"/>
    <w:p>
      <w:pPr>
        <w:pStyle w:val="Heading3"/>
      </w:pPr>
      <w:r>
        <w:t xml:space="preserve">As Origens: J2EE (1999-2006)</w:t>
      </w:r>
    </w:p>
    <w:p>
      <w:pPr>
        <w:pStyle w:val="FirstParagraph"/>
      </w:pPr>
      <w:r>
        <w:t xml:space="preserve">No final da década de 1990, a Sun Microsystems reconheceu a necessidade de uma plataforma padronizada para o desenvolvimento de aplicações empresariais Java. Em dezembro de 1999, lançou o J2EE 1.2, que introduziu tecnologias fundamentais como:</w:t>
      </w:r>
    </w:p>
    <w:p>
      <w:pPr>
        <w:pStyle w:val="Compact"/>
        <w:numPr>
          <w:ilvl w:val="0"/>
          <w:numId w:val="1001"/>
        </w:numPr>
      </w:pPr>
      <w:r>
        <w:t xml:space="preserve">Enterprise JavaBeans (EJB)</w:t>
      </w:r>
    </w:p>
    <w:p>
      <w:pPr>
        <w:pStyle w:val="Compact"/>
        <w:numPr>
          <w:ilvl w:val="0"/>
          <w:numId w:val="1001"/>
        </w:numPr>
      </w:pPr>
      <w:r>
        <w:t xml:space="preserve">Java Servlets</w:t>
      </w:r>
    </w:p>
    <w:p>
      <w:pPr>
        <w:pStyle w:val="Compact"/>
        <w:numPr>
          <w:ilvl w:val="0"/>
          <w:numId w:val="1001"/>
        </w:numPr>
      </w:pPr>
      <w:r>
        <w:t xml:space="preserve">JavaServer Pages (JSP)</w:t>
      </w:r>
    </w:p>
    <w:p>
      <w:pPr>
        <w:pStyle w:val="Compact"/>
        <w:numPr>
          <w:ilvl w:val="0"/>
          <w:numId w:val="1001"/>
        </w:numPr>
      </w:pPr>
      <w:r>
        <w:t xml:space="preserve">Java Transaction API (JTA)</w:t>
      </w:r>
    </w:p>
    <w:p>
      <w:pPr>
        <w:pStyle w:val="Compact"/>
        <w:numPr>
          <w:ilvl w:val="0"/>
          <w:numId w:val="1001"/>
        </w:numPr>
      </w:pPr>
      <w:r>
        <w:t xml:space="preserve">Java Message Service (JMS)</w:t>
      </w:r>
    </w:p>
    <w:p>
      <w:pPr>
        <w:pStyle w:val="FirstParagraph"/>
      </w:pPr>
      <w:r>
        <w:t xml:space="preserve">O J2EE rapidamente se estabeleceu como uma solução robusta para aplicações distribuídas de grande escala, embora fosse criticado por sua complexidade e verbosidade. O EJB 1.0 e 2.0, em particular, eram conhecidos por sua curva de aprendizado íngreme e pela necessidade de código boilerplate extenso.</w:t>
      </w:r>
    </w:p>
    <w:bookmarkEnd w:id="13"/>
    <w:bookmarkStart w:id="14" w:name="a-era-do-javaee-2006-2017"/>
    <w:p>
      <w:pPr>
        <w:pStyle w:val="Heading3"/>
      </w:pPr>
      <w:r>
        <w:t xml:space="preserve">A Era do JavaEE (2006-2017)</w:t>
      </w:r>
    </w:p>
    <w:p>
      <w:pPr>
        <w:pStyle w:val="FirstParagraph"/>
      </w:pPr>
      <w:r>
        <w:t xml:space="preserve">Em 2006, com o lançamento do Java EE 5, a plataforma passou por uma reformulação significativa com ênfase na simplificação do desenvolvimento:</w:t>
      </w:r>
    </w:p>
    <w:p>
      <w:pPr>
        <w:pStyle w:val="Compact"/>
        <w:numPr>
          <w:ilvl w:val="0"/>
          <w:numId w:val="1002"/>
        </w:numPr>
      </w:pPr>
      <w:r>
        <w:rPr>
          <w:b/>
          <w:bCs/>
        </w:rPr>
        <w:t xml:space="preserve">Java EE 5 (2006)</w:t>
      </w:r>
      <w:r>
        <w:t xml:space="preserve">: Introduziu anotações, EJB 3.0 simplificado, e Java Persistence API (JPA)</w:t>
      </w:r>
    </w:p>
    <w:p>
      <w:pPr>
        <w:pStyle w:val="Compact"/>
        <w:numPr>
          <w:ilvl w:val="0"/>
          <w:numId w:val="1002"/>
        </w:numPr>
      </w:pPr>
      <w:r>
        <w:rPr>
          <w:b/>
          <w:bCs/>
        </w:rPr>
        <w:t xml:space="preserve">Java EE 6 (2009)</w:t>
      </w:r>
      <w:r>
        <w:t xml:space="preserve">: Trouxe o conceito de perfis, Contexts and Dependency Injection (CDI), e uma arquitetura mais modular</w:t>
      </w:r>
    </w:p>
    <w:p>
      <w:pPr>
        <w:pStyle w:val="Compact"/>
        <w:numPr>
          <w:ilvl w:val="0"/>
          <w:numId w:val="1002"/>
        </w:numPr>
      </w:pPr>
      <w:r>
        <w:rPr>
          <w:b/>
          <w:bCs/>
        </w:rPr>
        <w:t xml:space="preserve">Java EE 7 (2013)</w:t>
      </w:r>
      <w:r>
        <w:t xml:space="preserve">: Focou em HTML5, WebSocket, JSON-P e melhorias em batch processing</w:t>
      </w:r>
    </w:p>
    <w:p>
      <w:pPr>
        <w:pStyle w:val="Compact"/>
        <w:numPr>
          <w:ilvl w:val="0"/>
          <w:numId w:val="1002"/>
        </w:numPr>
      </w:pPr>
      <w:r>
        <w:rPr>
          <w:b/>
          <w:bCs/>
        </w:rPr>
        <w:t xml:space="preserve">Java EE 8 (2017)</w:t>
      </w:r>
      <w:r>
        <w:t xml:space="preserve">: A última versão sob a Oracle, com atualizações para JSON-B, JAX-RS 2.1, Servlet 4.0 com suporte a HTTP/2</w:t>
      </w:r>
    </w:p>
    <w:p>
      <w:pPr>
        <w:pStyle w:val="FirstParagraph"/>
      </w:pPr>
      <w:r>
        <w:t xml:space="preserve">Durante este período, o JavaEE se consolidou como uma plataforma madura e completa, adotada por grandes instituições financeiras e redes de varejo globais para construir seus sistemas críticos.</w:t>
      </w:r>
    </w:p>
    <w:bookmarkEnd w:id="14"/>
    <w:bookmarkStart w:id="15" w:name="X0ba3ce8453df067805b02b971a352450f29de0f"/>
    <w:p>
      <w:pPr>
        <w:pStyle w:val="Heading3"/>
      </w:pPr>
      <w:r>
        <w:t xml:space="preserve">A Transição para Jakarta EE (2017-Presente)</w:t>
      </w:r>
    </w:p>
    <w:p>
      <w:pPr>
        <w:pStyle w:val="FirstParagraph"/>
      </w:pPr>
      <w:r>
        <w:t xml:space="preserve">Em 2017, a Oracle decidiu transferir o desenvolvimento do Java EE para a Eclipse Foundation, resultando em uma significativa mudança de marca:</w:t>
      </w:r>
    </w:p>
    <w:p>
      <w:pPr>
        <w:pStyle w:val="Compact"/>
        <w:numPr>
          <w:ilvl w:val="0"/>
          <w:numId w:val="1003"/>
        </w:numPr>
      </w:pPr>
      <w:r>
        <w:rPr>
          <w:b/>
          <w:bCs/>
        </w:rPr>
        <w:t xml:space="preserve">Setembro 2017</w:t>
      </w:r>
      <w:r>
        <w:t xml:space="preserve">: Oracle anuncia a transferência do Java EE para a Eclipse Foundation</w:t>
      </w:r>
    </w:p>
    <w:p>
      <w:pPr>
        <w:pStyle w:val="Compact"/>
        <w:numPr>
          <w:ilvl w:val="0"/>
          <w:numId w:val="1003"/>
        </w:numPr>
      </w:pPr>
      <w:r>
        <w:rPr>
          <w:b/>
          <w:bCs/>
        </w:rPr>
        <w:t xml:space="preserve">Fevereiro 2018</w:t>
      </w:r>
      <w:r>
        <w:t xml:space="preserve">: O projeto é renomeado para</w:t>
      </w:r>
      <w:r>
        <w:t xml:space="preserve"> </w:t>
      </w:r>
      <w:r>
        <w:t xml:space="preserve">“Jakarta EE”</w:t>
      </w:r>
      <w:r>
        <w:t xml:space="preserve"> </w:t>
      </w:r>
      <w:r>
        <w:t xml:space="preserve">após questões de marca registrada</w:t>
      </w:r>
    </w:p>
    <w:p>
      <w:pPr>
        <w:pStyle w:val="Compact"/>
        <w:numPr>
          <w:ilvl w:val="0"/>
          <w:numId w:val="1003"/>
        </w:numPr>
      </w:pPr>
      <w:r>
        <w:rPr>
          <w:b/>
          <w:bCs/>
        </w:rPr>
        <w:t xml:space="preserve">2019</w:t>
      </w:r>
      <w:r>
        <w:t xml:space="preserve">: Jakarta EE 8 é lançado, mantendo compatibilidade com Java EE 8</w:t>
      </w:r>
    </w:p>
    <w:p>
      <w:pPr>
        <w:pStyle w:val="Compact"/>
        <w:numPr>
          <w:ilvl w:val="0"/>
          <w:numId w:val="1003"/>
        </w:numPr>
      </w:pPr>
      <w:r>
        <w:rPr>
          <w:b/>
          <w:bCs/>
        </w:rPr>
        <w:t xml:space="preserve">2020</w:t>
      </w:r>
      <w:r>
        <w:t xml:space="preserve">: Jakarta EE 9 marca a grande transição de namespace, mudando de</w:t>
      </w:r>
      <w:r>
        <w:t xml:space="preserve"> </w:t>
      </w:r>
      <w:r>
        <w:rPr>
          <w:rStyle w:val="VerbatimChar"/>
        </w:rPr>
        <w:t xml:space="preserve">javax.*</w:t>
      </w:r>
      <w:r>
        <w:t xml:space="preserve"> </w:t>
      </w:r>
      <w:r>
        <w:t xml:space="preserve">para</w:t>
      </w:r>
      <w:r>
        <w:t xml:space="preserve"> </w:t>
      </w:r>
      <w:r>
        <w:rPr>
          <w:rStyle w:val="VerbatimChar"/>
        </w:rPr>
        <w:t xml:space="preserve">jakarta.*</w:t>
      </w:r>
    </w:p>
    <w:p>
      <w:pPr>
        <w:pStyle w:val="Compact"/>
        <w:numPr>
          <w:ilvl w:val="0"/>
          <w:numId w:val="1003"/>
        </w:numPr>
      </w:pPr>
      <w:r>
        <w:rPr>
          <w:b/>
          <w:bCs/>
        </w:rPr>
        <w:t xml:space="preserve">2021</w:t>
      </w:r>
      <w:r>
        <w:t xml:space="preserve">: Jakarta EE 10 oferece suporte para modernização com microserviços e integração com outras tecnologias</w:t>
      </w:r>
    </w:p>
    <w:p>
      <w:pPr>
        <w:pStyle w:val="Compact"/>
        <w:numPr>
          <w:ilvl w:val="0"/>
          <w:numId w:val="1003"/>
        </w:numPr>
      </w:pPr>
      <w:r>
        <w:rPr>
          <w:b/>
          <w:bCs/>
        </w:rPr>
        <w:t xml:space="preserve">2023-2025</w:t>
      </w:r>
      <w:r>
        <w:t xml:space="preserve">: Atualizações contínuas focam em modernização, mantendo compatibilidade com sistemas legados</w:t>
      </w:r>
    </w:p>
    <w:p>
      <w:pPr>
        <w:pStyle w:val="FirstParagraph"/>
      </w:pPr>
      <w:r>
        <w:t xml:space="preserve">Esta transição representou mais que uma mudança de nome: significou um novo modelo de governança aberto, permitindo uma evolução mais rápida e alinhada às necessidades do mercado.</w:t>
      </w:r>
    </w:p>
    <w:bookmarkEnd w:id="15"/>
    <w:bookmarkEnd w:id="16"/>
    <w:bookmarkStart w:id="20" w:name="X7d49cec144ea8ce3b23bff6907f128ddeb12a0b"/>
    <w:p>
      <w:pPr>
        <w:pStyle w:val="Heading2"/>
      </w:pPr>
      <w:r>
        <w:t xml:space="preserve">Jakarta EE Hoje: Componentes e Tecnologias Relevantes</w:t>
      </w:r>
    </w:p>
    <w:p>
      <w:pPr>
        <w:pStyle w:val="FirstParagraph"/>
      </w:pPr>
      <w:r>
        <w:t xml:space="preserve">O ecossistema Jakarta EE mantém e evolui diversos componentes que permanecem cruciais para o desenvolvimento corporativo:</w:t>
      </w:r>
    </w:p>
    <w:bookmarkStart w:id="17" w:name="componentes-core"/>
    <w:p>
      <w:pPr>
        <w:pStyle w:val="Heading3"/>
      </w:pPr>
      <w:r>
        <w:t xml:space="preserve">Componentes Core</w:t>
      </w:r>
    </w:p>
    <w:p>
      <w:pPr>
        <w:pStyle w:val="Compact"/>
        <w:numPr>
          <w:ilvl w:val="0"/>
          <w:numId w:val="1004"/>
        </w:numPr>
      </w:pPr>
      <w:r>
        <w:rPr>
          <w:b/>
          <w:bCs/>
        </w:rPr>
        <w:t xml:space="preserve">Jakarta Persistence (anteriormente JPA)</w:t>
      </w:r>
      <w:r>
        <w:t xml:space="preserve">: ORM padrão para acesso a banco de dados</w:t>
      </w:r>
    </w:p>
    <w:p>
      <w:pPr>
        <w:pStyle w:val="Compact"/>
        <w:numPr>
          <w:ilvl w:val="0"/>
          <w:numId w:val="1004"/>
        </w:numPr>
      </w:pPr>
      <w:r>
        <w:rPr>
          <w:b/>
          <w:bCs/>
        </w:rPr>
        <w:t xml:space="preserve">Jakarta Enterprise Beans (anteriormente EJB)</w:t>
      </w:r>
      <w:r>
        <w:t xml:space="preserve">: Framework para componentes de negócios</w:t>
      </w:r>
    </w:p>
    <w:p>
      <w:pPr>
        <w:pStyle w:val="Compact"/>
        <w:numPr>
          <w:ilvl w:val="0"/>
          <w:numId w:val="1004"/>
        </w:numPr>
      </w:pPr>
      <w:r>
        <w:rPr>
          <w:b/>
          <w:bCs/>
        </w:rPr>
        <w:t xml:space="preserve">Jakarta Contexts and Dependency Injection (CDI)</w:t>
      </w:r>
      <w:r>
        <w:t xml:space="preserve">: Sistema de injeção de dependência</w:t>
      </w:r>
    </w:p>
    <w:p>
      <w:pPr>
        <w:pStyle w:val="Compact"/>
        <w:numPr>
          <w:ilvl w:val="0"/>
          <w:numId w:val="1004"/>
        </w:numPr>
      </w:pPr>
      <w:r>
        <w:rPr>
          <w:b/>
          <w:bCs/>
        </w:rPr>
        <w:t xml:space="preserve">Jakarta RESTful Web Services (anteriormente JAX-RS)</w:t>
      </w:r>
      <w:r>
        <w:t xml:space="preserve">: API para serviços REST</w:t>
      </w:r>
    </w:p>
    <w:p>
      <w:pPr>
        <w:pStyle w:val="Compact"/>
        <w:numPr>
          <w:ilvl w:val="0"/>
          <w:numId w:val="1004"/>
        </w:numPr>
      </w:pPr>
      <w:r>
        <w:rPr>
          <w:b/>
          <w:bCs/>
        </w:rPr>
        <w:t xml:space="preserve">Jakarta Transactions (anteriormente JTA)</w:t>
      </w:r>
      <w:r>
        <w:t xml:space="preserve">: API para gerenciamento de transações</w:t>
      </w:r>
    </w:p>
    <w:bookmarkEnd w:id="17"/>
    <w:bookmarkStart w:id="18" w:name="implementações-populares"/>
    <w:p>
      <w:pPr>
        <w:pStyle w:val="Heading3"/>
      </w:pPr>
      <w:r>
        <w:t xml:space="preserve">Implementações Populares</w:t>
      </w:r>
    </w:p>
    <w:p>
      <w:pPr>
        <w:pStyle w:val="Compact"/>
        <w:numPr>
          <w:ilvl w:val="0"/>
          <w:numId w:val="1005"/>
        </w:numPr>
      </w:pPr>
      <w:r>
        <w:rPr>
          <w:b/>
          <w:bCs/>
        </w:rPr>
        <w:t xml:space="preserve">WildFly (antigo JBoss)</w:t>
      </w:r>
      <w:r>
        <w:t xml:space="preserve">: Servidor de aplicação da Red Hat</w:t>
      </w:r>
    </w:p>
    <w:p>
      <w:pPr>
        <w:pStyle w:val="Compact"/>
        <w:numPr>
          <w:ilvl w:val="0"/>
          <w:numId w:val="1005"/>
        </w:numPr>
      </w:pPr>
      <w:r>
        <w:rPr>
          <w:b/>
          <w:bCs/>
        </w:rPr>
        <w:t xml:space="preserve">GlassFish</w:t>
      </w:r>
      <w:r>
        <w:t xml:space="preserve">: Implementação de referência</w:t>
      </w:r>
    </w:p>
    <w:p>
      <w:pPr>
        <w:pStyle w:val="Compact"/>
        <w:numPr>
          <w:ilvl w:val="0"/>
          <w:numId w:val="1005"/>
        </w:numPr>
      </w:pPr>
      <w:r>
        <w:rPr>
          <w:b/>
          <w:bCs/>
        </w:rPr>
        <w:t xml:space="preserve">WebSphere Liberty</w:t>
      </w:r>
      <w:r>
        <w:t xml:space="preserve">: Servidor leve da IBM</w:t>
      </w:r>
    </w:p>
    <w:p>
      <w:pPr>
        <w:pStyle w:val="Compact"/>
        <w:numPr>
          <w:ilvl w:val="0"/>
          <w:numId w:val="1005"/>
        </w:numPr>
      </w:pPr>
      <w:r>
        <w:rPr>
          <w:b/>
          <w:bCs/>
        </w:rPr>
        <w:t xml:space="preserve">Payara Server</w:t>
      </w:r>
      <w:r>
        <w:t xml:space="preserve">: Fork empresarial do GlassFish</w:t>
      </w:r>
    </w:p>
    <w:p>
      <w:pPr>
        <w:pStyle w:val="Compact"/>
        <w:numPr>
          <w:ilvl w:val="0"/>
          <w:numId w:val="1005"/>
        </w:numPr>
      </w:pPr>
      <w:r>
        <w:rPr>
          <w:b/>
          <w:bCs/>
        </w:rPr>
        <w:t xml:space="preserve">TomEE</w:t>
      </w:r>
      <w:r>
        <w:t xml:space="preserve">: Servidor baseado em Tomcat com recursos Jakarta EE</w:t>
      </w:r>
    </w:p>
    <w:bookmarkEnd w:id="18"/>
    <w:bookmarkStart w:id="19" w:name="frameworks-complementares"/>
    <w:p>
      <w:pPr>
        <w:pStyle w:val="Heading3"/>
      </w:pPr>
      <w:r>
        <w:t xml:space="preserve">Frameworks Complementares</w:t>
      </w:r>
    </w:p>
    <w:p>
      <w:pPr>
        <w:pStyle w:val="Compact"/>
        <w:numPr>
          <w:ilvl w:val="0"/>
          <w:numId w:val="1006"/>
        </w:numPr>
      </w:pPr>
      <w:r>
        <w:rPr>
          <w:b/>
          <w:bCs/>
        </w:rPr>
        <w:t xml:space="preserve">Spring Framework</w:t>
      </w:r>
      <w:r>
        <w:t xml:space="preserve">: Oferece integração com Jakarta EE</w:t>
      </w:r>
    </w:p>
    <w:p>
      <w:pPr>
        <w:pStyle w:val="Compact"/>
        <w:numPr>
          <w:ilvl w:val="0"/>
          <w:numId w:val="1006"/>
        </w:numPr>
      </w:pPr>
      <w:r>
        <w:rPr>
          <w:b/>
          <w:bCs/>
        </w:rPr>
        <w:t xml:space="preserve">MicroProfile</w:t>
      </w:r>
      <w:r>
        <w:t xml:space="preserve">: Extensão para desenvolvimento de microserviços</w:t>
      </w:r>
    </w:p>
    <w:p>
      <w:pPr>
        <w:pStyle w:val="Compact"/>
        <w:numPr>
          <w:ilvl w:val="0"/>
          <w:numId w:val="1006"/>
        </w:numPr>
      </w:pPr>
      <w:r>
        <w:rPr>
          <w:b/>
          <w:bCs/>
        </w:rPr>
        <w:t xml:space="preserve">Quarkus</w:t>
      </w:r>
      <w:r>
        <w:t xml:space="preserve">: Framework</w:t>
      </w:r>
      <w:r>
        <w:t xml:space="preserve"> </w:t>
      </w:r>
      <w:r>
        <w:t xml:space="preserve">“Supersonic Subatomic Java”</w:t>
      </w:r>
      <w:r>
        <w:t xml:space="preserve"> </w:t>
      </w:r>
      <w:r>
        <w:t xml:space="preserve">com suporte a Jakarta EE</w:t>
      </w:r>
    </w:p>
    <w:bookmarkEnd w:id="19"/>
    <w:bookmarkEnd w:id="20"/>
    <w:bookmarkStart w:id="22" w:name="X6673c53f7529f0487797d1dd526d46311afd665"/>
    <w:p>
      <w:pPr>
        <w:pStyle w:val="Heading2"/>
      </w:pPr>
      <w:r>
        <w:t xml:space="preserve">Persistência do Jakarta EE no Setor Bancário</w:t>
      </w:r>
    </w:p>
    <w:p>
      <w:pPr>
        <w:pStyle w:val="FirstParagraph"/>
      </w:pPr>
      <w:r>
        <w:t xml:space="preserve">O setor bancário brasileiro e global continua sendo um dos maiores adotantes das tecnologias Jakarta EE, por razões estratégicas e técnicas:</w:t>
      </w:r>
    </w:p>
    <w:bookmarkStart w:id="21" w:name="razões-da-predominância"/>
    <w:p>
      <w:pPr>
        <w:pStyle w:val="Heading3"/>
      </w:pPr>
      <w:r>
        <w:t xml:space="preserve">Razões da Predominância</w:t>
      </w:r>
    </w:p>
    <w:p>
      <w:pPr>
        <w:numPr>
          <w:ilvl w:val="0"/>
          <w:numId w:val="1007"/>
        </w:numPr>
      </w:pPr>
      <w:r>
        <w:rPr>
          <w:b/>
          <w:bCs/>
        </w:rPr>
        <w:t xml:space="preserve">Segurança e Robustez Comprovadas</w:t>
      </w:r>
    </w:p>
    <w:p>
      <w:pPr>
        <w:numPr>
          <w:ilvl w:val="0"/>
          <w:numId w:val="1000"/>
        </w:numPr>
      </w:pPr>
      <w:r>
        <w:t xml:space="preserve">Os sistemas bancários demandam segurança extrema e estabilidade, áreas onde Jakarta EE tem um histórico comprovado de décadas. A plataforma oferece recursos integrados para:</w:t>
      </w:r>
    </w:p>
    <w:p>
      <w:pPr>
        <w:pStyle w:val="Compact"/>
        <w:numPr>
          <w:ilvl w:val="1"/>
          <w:numId w:val="1008"/>
        </w:numPr>
      </w:pPr>
      <w:r>
        <w:t xml:space="preserve">Controle de acesso granular</w:t>
      </w:r>
    </w:p>
    <w:p>
      <w:pPr>
        <w:pStyle w:val="Compact"/>
        <w:numPr>
          <w:ilvl w:val="1"/>
          <w:numId w:val="1008"/>
        </w:numPr>
      </w:pPr>
      <w:r>
        <w:t xml:space="preserve">Criptografia e protocolos seguros</w:t>
      </w:r>
    </w:p>
    <w:p>
      <w:pPr>
        <w:pStyle w:val="Compact"/>
        <w:numPr>
          <w:ilvl w:val="1"/>
          <w:numId w:val="1008"/>
        </w:numPr>
      </w:pPr>
      <w:r>
        <w:t xml:space="preserve">Gerenciamento transacional sólido</w:t>
      </w:r>
    </w:p>
    <w:p>
      <w:pPr>
        <w:pStyle w:val="Compact"/>
        <w:numPr>
          <w:ilvl w:val="1"/>
          <w:numId w:val="1008"/>
        </w:numPr>
      </w:pPr>
      <w:r>
        <w:t xml:space="preserve">Auditoria e rastreabilidade</w:t>
      </w:r>
    </w:p>
    <w:p>
      <w:pPr>
        <w:numPr>
          <w:ilvl w:val="0"/>
          <w:numId w:val="1007"/>
        </w:numPr>
      </w:pPr>
      <w:r>
        <w:rPr>
          <w:b/>
          <w:bCs/>
        </w:rPr>
        <w:t xml:space="preserve">Suporte a Transações Distribuídas</w:t>
      </w:r>
    </w:p>
    <w:p>
      <w:pPr>
        <w:numPr>
          <w:ilvl w:val="0"/>
          <w:numId w:val="1000"/>
        </w:numPr>
      </w:pPr>
      <w:r>
        <w:t xml:space="preserve">Os bancos geralmente operam com arquiteturas complexas onde a integridade transacional é crítica:</w:t>
      </w:r>
    </w:p>
    <w:p>
      <w:pPr>
        <w:pStyle w:val="SourceCode"/>
        <w:numPr>
          <w:ilvl w:val="0"/>
          <w:numId w:val="1000"/>
        </w:numPr>
      </w:pPr>
      <w:r>
        <w:rPr>
          <w:rStyle w:val="AttributeTok"/>
        </w:rPr>
        <w:t xml:space="preserve">@Stateless</w:t>
      </w:r>
      <w:r>
        <w:br/>
      </w:r>
      <w:r>
        <w:rPr>
          <w:rStyle w:val="KeywordTok"/>
        </w:rPr>
        <w:t xml:space="preserve">public</w:t>
      </w:r>
      <w:r>
        <w:rPr>
          <w:rStyle w:val="NormalTok"/>
        </w:rPr>
        <w:t xml:space="preserve"> </w:t>
      </w:r>
      <w:r>
        <w:rPr>
          <w:rStyle w:val="KeywordTok"/>
        </w:rPr>
        <w:t xml:space="preserve">class</w:t>
      </w:r>
      <w:r>
        <w:rPr>
          <w:rStyle w:val="NormalTok"/>
        </w:rPr>
        <w:t xml:space="preserve"> TransferenciaBancariaEJB </w:t>
      </w:r>
      <w:r>
        <w:rPr>
          <w:rStyle w:val="OperatorTok"/>
        </w:rPr>
        <w:t xml:space="preserve">{</w:t>
      </w:r>
      <w:r>
        <w:br/>
      </w:r>
      <w:r>
        <w:rPr>
          <w:rStyle w:val="NormalTok"/>
        </w:rPr>
        <w:t xml:space="preserve">    </w:t>
      </w:r>
      <w:r>
        <w:rPr>
          <w:rStyle w:val="AttributeTok"/>
        </w:rPr>
        <w:t xml:space="preserve">@PersistenceContext</w:t>
      </w:r>
      <w:r>
        <w:br/>
      </w:r>
      <w:r>
        <w:rPr>
          <w:rStyle w:val="NormalTok"/>
        </w:rPr>
        <w:t xml:space="preserve">    </w:t>
      </w:r>
      <w:r>
        <w:rPr>
          <w:rStyle w:val="KeywordTok"/>
        </w:rPr>
        <w:t xml:space="preserve">private</w:t>
      </w:r>
      <w:r>
        <w:rPr>
          <w:rStyle w:val="NormalTok"/>
        </w:rPr>
        <w:t xml:space="preserve"> EntityManager em</w:t>
      </w:r>
      <w:r>
        <w:rPr>
          <w:rStyle w:val="OperatorTok"/>
        </w:rPr>
        <w:t xml:space="preserve">;</w:t>
      </w:r>
      <w:r>
        <w:br/>
      </w:r>
      <w:r>
        <w:br/>
      </w:r>
      <w:r>
        <w:rPr>
          <w:rStyle w:val="NormalTok"/>
        </w:rPr>
        <w:t xml:space="preserve">    </w:t>
      </w:r>
      <w:r>
        <w:rPr>
          <w:rStyle w:val="AttributeTok"/>
        </w:rPr>
        <w:t xml:space="preserve">@Resource</w:t>
      </w:r>
      <w:r>
        <w:br/>
      </w:r>
      <w:r>
        <w:rPr>
          <w:rStyle w:val="NormalTok"/>
        </w:rPr>
        <w:t xml:space="preserve">    </w:t>
      </w:r>
      <w:r>
        <w:rPr>
          <w:rStyle w:val="KeywordTok"/>
        </w:rPr>
        <w:t xml:space="preserve">private</w:t>
      </w:r>
      <w:r>
        <w:rPr>
          <w:rStyle w:val="NormalTok"/>
        </w:rPr>
        <w:t xml:space="preserve"> UserTransaction utx</w:t>
      </w:r>
      <w:r>
        <w:rPr>
          <w:rStyle w:val="OperatorTok"/>
        </w:rPr>
        <w:t xml:space="preserve">;</w:t>
      </w:r>
      <w:r>
        <w:br/>
      </w:r>
      <w:r>
        <w:br/>
      </w:r>
      <w:r>
        <w:rPr>
          <w:rStyle w:val="NormalTok"/>
        </w:rPr>
        <w:t xml:space="preserve">    </w:t>
      </w:r>
      <w:r>
        <w:rPr>
          <w:rStyle w:val="AttributeTok"/>
        </w:rPr>
        <w:t xml:space="preserve">@TransactionAttribute</w:t>
      </w:r>
      <w:r>
        <w:rPr>
          <w:rStyle w:val="OperatorTok"/>
        </w:rPr>
        <w:t xml:space="preserve">(</w:t>
      </w:r>
      <w:r>
        <w:rPr>
          <w:rStyle w:val="NormalTok"/>
        </w:rPr>
        <w:t xml:space="preserve">TransactionAttributeType</w:t>
      </w:r>
      <w:r>
        <w:rPr>
          <w:rStyle w:val="OperatorTok"/>
        </w:rPr>
        <w:t xml:space="preserve">.</w:t>
      </w:r>
      <w:r>
        <w:rPr>
          <w:rStyle w:val="FunctionTok"/>
        </w:rPr>
        <w:t xml:space="preserve">REQUIRED</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realizarTransferencia</w:t>
      </w:r>
      <w:r>
        <w:rPr>
          <w:rStyle w:val="OperatorTok"/>
        </w:rPr>
        <w:t xml:space="preserve">(</w:t>
      </w:r>
      <w:r>
        <w:rPr>
          <w:rStyle w:val="DataTypeTok"/>
        </w:rPr>
        <w:t xml:space="preserve">long</w:t>
      </w:r>
      <w:r>
        <w:rPr>
          <w:rStyle w:val="NormalTok"/>
        </w:rPr>
        <w:t xml:space="preserve"> contaOrigemId</w:t>
      </w:r>
      <w:r>
        <w:rPr>
          <w:rStyle w:val="OperatorTok"/>
        </w:rPr>
        <w:t xml:space="preserve">,</w:t>
      </w:r>
      <w:r>
        <w:rPr>
          <w:rStyle w:val="NormalTok"/>
        </w:rPr>
        <w:t xml:space="preserve"> </w:t>
      </w:r>
      <w:r>
        <w:rPr>
          <w:rStyle w:val="DataTypeTok"/>
        </w:rPr>
        <w:t xml:space="preserve">long</w:t>
      </w:r>
      <w:r>
        <w:rPr>
          <w:rStyle w:val="NormalTok"/>
        </w:rPr>
        <w:t xml:space="preserve"> contaDestinoId</w:t>
      </w:r>
      <w:r>
        <w:rPr>
          <w:rStyle w:val="OperatorTok"/>
        </w:rPr>
        <w:t xml:space="preserve">,</w:t>
      </w:r>
      <w:r>
        <w:rPr>
          <w:rStyle w:val="NormalTok"/>
        </w:rPr>
        <w:t xml:space="preserve"> </w:t>
      </w:r>
      <w:r>
        <w:br/>
      </w:r>
      <w:r>
        <w:rPr>
          <w:rStyle w:val="NormalTok"/>
        </w:rPr>
        <w:t xml:space="preserve">                                    </w:t>
      </w:r>
      <w:r>
        <w:rPr>
          <w:rStyle w:val="BuiltInTok"/>
        </w:rPr>
        <w:t xml:space="preserve">BigDecimal</w:t>
      </w:r>
      <w:r>
        <w:rPr>
          <w:rStyle w:val="NormalTok"/>
        </w:rPr>
        <w:t xml:space="preserve"> valor</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rPr>
          <w:rStyle w:val="OperatorTok"/>
        </w:rPr>
        <w:t xml:space="preserve">{</w:t>
      </w:r>
      <w:r>
        <w:br/>
      </w:r>
      <w:r>
        <w:rPr>
          <w:rStyle w:val="NormalTok"/>
        </w:rPr>
        <w:t xml:space="preserve">        ContaBancaria origem </w:t>
      </w:r>
      <w:r>
        <w:rPr>
          <w:rStyle w:val="OperatorTok"/>
        </w:rPr>
        <w:t xml:space="preserve">=</w:t>
      </w:r>
      <w:r>
        <w:rPr>
          <w:rStyle w:val="NormalTok"/>
        </w:rPr>
        <w:t xml:space="preserve"> em</w:t>
      </w:r>
      <w:r>
        <w:rPr>
          <w:rStyle w:val="OperatorTok"/>
        </w:rPr>
        <w:t xml:space="preserve">.</w:t>
      </w:r>
      <w:r>
        <w:rPr>
          <w:rStyle w:val="FunctionTok"/>
        </w:rPr>
        <w:t xml:space="preserve">find</w:t>
      </w:r>
      <w:r>
        <w:rPr>
          <w:rStyle w:val="OperatorTok"/>
        </w:rPr>
        <w:t xml:space="preserve">(</w:t>
      </w:r>
      <w:r>
        <w:rPr>
          <w:rStyle w:val="NormalTok"/>
        </w:rPr>
        <w:t xml:space="preserve">ContaBancaria</w:t>
      </w:r>
      <w:r>
        <w:rPr>
          <w:rStyle w:val="OperatorTok"/>
        </w:rPr>
        <w:t xml:space="preserve">.</w:t>
      </w:r>
      <w:r>
        <w:rPr>
          <w:rStyle w:val="FunctionTok"/>
        </w:rPr>
        <w:t xml:space="preserve">class</w:t>
      </w:r>
      <w:r>
        <w:rPr>
          <w:rStyle w:val="OperatorTok"/>
        </w:rPr>
        <w:t xml:space="preserve">,</w:t>
      </w:r>
      <w:r>
        <w:rPr>
          <w:rStyle w:val="NormalTok"/>
        </w:rPr>
        <w:t xml:space="preserve"> contaOrigemId</w:t>
      </w:r>
      <w:r>
        <w:rPr>
          <w:rStyle w:val="OperatorTok"/>
        </w:rPr>
        <w:t xml:space="preserve">);</w:t>
      </w:r>
      <w:r>
        <w:br/>
      </w:r>
      <w:r>
        <w:rPr>
          <w:rStyle w:val="NormalTok"/>
        </w:rPr>
        <w:t xml:space="preserve">        ContaBancaria destino </w:t>
      </w:r>
      <w:r>
        <w:rPr>
          <w:rStyle w:val="OperatorTok"/>
        </w:rPr>
        <w:t xml:space="preserve">=</w:t>
      </w:r>
      <w:r>
        <w:rPr>
          <w:rStyle w:val="NormalTok"/>
        </w:rPr>
        <w:t xml:space="preserve"> em</w:t>
      </w:r>
      <w:r>
        <w:rPr>
          <w:rStyle w:val="OperatorTok"/>
        </w:rPr>
        <w:t xml:space="preserve">.</w:t>
      </w:r>
      <w:r>
        <w:rPr>
          <w:rStyle w:val="FunctionTok"/>
        </w:rPr>
        <w:t xml:space="preserve">find</w:t>
      </w:r>
      <w:r>
        <w:rPr>
          <w:rStyle w:val="OperatorTok"/>
        </w:rPr>
        <w:t xml:space="preserve">(</w:t>
      </w:r>
      <w:r>
        <w:rPr>
          <w:rStyle w:val="NormalTok"/>
        </w:rPr>
        <w:t xml:space="preserve">ContaBancaria</w:t>
      </w:r>
      <w:r>
        <w:rPr>
          <w:rStyle w:val="OperatorTok"/>
        </w:rPr>
        <w:t xml:space="preserve">.</w:t>
      </w:r>
      <w:r>
        <w:rPr>
          <w:rStyle w:val="FunctionTok"/>
        </w:rPr>
        <w:t xml:space="preserve">class</w:t>
      </w:r>
      <w:r>
        <w:rPr>
          <w:rStyle w:val="OperatorTok"/>
        </w:rPr>
        <w:t xml:space="preserve">,</w:t>
      </w:r>
      <w:r>
        <w:rPr>
          <w:rStyle w:val="NormalTok"/>
        </w:rPr>
        <w:t xml:space="preserve"> contaDestinoId</w:t>
      </w:r>
      <w:r>
        <w:rPr>
          <w:rStyle w:val="OperatorTok"/>
        </w:rPr>
        <w:t xml:space="preserve">);</w:t>
      </w:r>
      <w:r>
        <w:br/>
      </w:r>
      <w:r>
        <w:br/>
      </w:r>
      <w:r>
        <w:rPr>
          <w:rStyle w:val="NormalTok"/>
        </w:rPr>
        <w:t xml:space="preserve">        </w:t>
      </w:r>
      <w:r>
        <w:rPr>
          <w:rStyle w:val="CommentTok"/>
        </w:rPr>
        <w:t xml:space="preserve">// Validações...</w:t>
      </w:r>
      <w:r>
        <w:br/>
      </w:r>
      <w:r>
        <w:br/>
      </w:r>
      <w:r>
        <w:rPr>
          <w:rStyle w:val="NormalTok"/>
        </w:rPr>
        <w:t xml:space="preserve">        </w:t>
      </w:r>
      <w:r>
        <w:rPr>
          <w:rStyle w:val="CommentTok"/>
        </w:rPr>
        <w:t xml:space="preserve">// Operação atômica garantida pela transação JTA</w:t>
      </w:r>
      <w:r>
        <w:br/>
      </w:r>
      <w:r>
        <w:rPr>
          <w:rStyle w:val="NormalTok"/>
        </w:rPr>
        <w:t xml:space="preserve">        origem</w:t>
      </w:r>
      <w:r>
        <w:rPr>
          <w:rStyle w:val="OperatorTok"/>
        </w:rPr>
        <w:t xml:space="preserve">.</w:t>
      </w:r>
      <w:r>
        <w:rPr>
          <w:rStyle w:val="FunctionTok"/>
        </w:rPr>
        <w:t xml:space="preserve">debitar</w:t>
      </w:r>
      <w:r>
        <w:rPr>
          <w:rStyle w:val="OperatorTok"/>
        </w:rPr>
        <w:t xml:space="preserve">(</w:t>
      </w:r>
      <w:r>
        <w:rPr>
          <w:rStyle w:val="NormalTok"/>
        </w:rPr>
        <w:t xml:space="preserve">valor</w:t>
      </w:r>
      <w:r>
        <w:rPr>
          <w:rStyle w:val="OperatorTok"/>
        </w:rPr>
        <w:t xml:space="preserve">);</w:t>
      </w:r>
      <w:r>
        <w:br/>
      </w:r>
      <w:r>
        <w:rPr>
          <w:rStyle w:val="NormalTok"/>
        </w:rPr>
        <w:t xml:space="preserve">        destino</w:t>
      </w:r>
      <w:r>
        <w:rPr>
          <w:rStyle w:val="OperatorTok"/>
        </w:rPr>
        <w:t xml:space="preserve">.</w:t>
      </w:r>
      <w:r>
        <w:rPr>
          <w:rStyle w:val="FunctionTok"/>
        </w:rPr>
        <w:t xml:space="preserve">creditar</w:t>
      </w:r>
      <w:r>
        <w:rPr>
          <w:rStyle w:val="OperatorTok"/>
        </w:rPr>
        <w:t xml:space="preserve">(</w:t>
      </w:r>
      <w:r>
        <w:rPr>
          <w:rStyle w:val="NormalTok"/>
        </w:rPr>
        <w:t xml:space="preserve">valor</w:t>
      </w:r>
      <w:r>
        <w:rPr>
          <w:rStyle w:val="OperatorTok"/>
        </w:rPr>
        <w:t xml:space="preserve">);</w:t>
      </w:r>
      <w:r>
        <w:br/>
      </w:r>
      <w:r>
        <w:br/>
      </w:r>
      <w:r>
        <w:rPr>
          <w:rStyle w:val="NormalTok"/>
        </w:rPr>
        <w:t xml:space="preserve">        </w:t>
      </w:r>
      <w:r>
        <w:rPr>
          <w:rStyle w:val="CommentTok"/>
        </w:rPr>
        <w:t xml:space="preserve">// Registra operação para auditoria</w:t>
      </w:r>
      <w:r>
        <w:br/>
      </w:r>
      <w:r>
        <w:rPr>
          <w:rStyle w:val="NormalTok"/>
        </w:rPr>
        <w:t xml:space="preserve">        RegistroTransacao log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RegistroTransacao</w:t>
      </w:r>
      <w:r>
        <w:rPr>
          <w:rStyle w:val="OperatorTok"/>
        </w:rPr>
        <w:t xml:space="preserve">(</w:t>
      </w:r>
      <w:r>
        <w:rPr>
          <w:rStyle w:val="NormalTok"/>
        </w:rPr>
        <w:t xml:space="preserve">origem</w:t>
      </w:r>
      <w:r>
        <w:rPr>
          <w:rStyle w:val="OperatorTok"/>
        </w:rPr>
        <w:t xml:space="preserve">,</w:t>
      </w:r>
      <w:r>
        <w:rPr>
          <w:rStyle w:val="NormalTok"/>
        </w:rPr>
        <w:t xml:space="preserve"> destino</w:t>
      </w:r>
      <w:r>
        <w:rPr>
          <w:rStyle w:val="OperatorTok"/>
        </w:rPr>
        <w:t xml:space="preserve">,</w:t>
      </w:r>
      <w:r>
        <w:rPr>
          <w:rStyle w:val="NormalTok"/>
        </w:rPr>
        <w:t xml:space="preserve"> valor</w:t>
      </w:r>
      <w:r>
        <w:rPr>
          <w:rStyle w:val="OperatorTok"/>
        </w:rPr>
        <w:t xml:space="preserve">);</w:t>
      </w:r>
      <w:r>
        <w:br/>
      </w:r>
      <w:r>
        <w:rPr>
          <w:rStyle w:val="NormalTok"/>
        </w:rPr>
        <w:t xml:space="preserve">        em</w:t>
      </w:r>
      <w:r>
        <w:rPr>
          <w:rStyle w:val="OperatorTok"/>
        </w:rPr>
        <w:t xml:space="preserve">.</w:t>
      </w:r>
      <w:r>
        <w:rPr>
          <w:rStyle w:val="FunctionTok"/>
        </w:rPr>
        <w:t xml:space="preserve">persist</w:t>
      </w:r>
      <w:r>
        <w:rPr>
          <w:rStyle w:val="OperatorTok"/>
        </w:rPr>
        <w:t xml:space="preserve">(</w:t>
      </w:r>
      <w:r>
        <w:rPr>
          <w:rStyle w:val="NormalTok"/>
        </w:rPr>
        <w:t xml:space="preserve">log</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07"/>
        </w:numPr>
      </w:pPr>
      <w:r>
        <w:rPr>
          <w:b/>
          <w:bCs/>
        </w:rPr>
        <w:t xml:space="preserve">Integração com Sistemas Legados</w:t>
      </w:r>
    </w:p>
    <w:p>
      <w:pPr>
        <w:numPr>
          <w:ilvl w:val="0"/>
          <w:numId w:val="1000"/>
        </w:numPr>
      </w:pPr>
      <w:r>
        <w:t xml:space="preserve">Os bancos possuem sistemas que evoluíram por décadas, muitos deles construídos em Java:</w:t>
      </w:r>
    </w:p>
    <w:p>
      <w:pPr>
        <w:pStyle w:val="Compact"/>
        <w:numPr>
          <w:ilvl w:val="1"/>
          <w:numId w:val="1009"/>
        </w:numPr>
      </w:pPr>
      <w:r>
        <w:t xml:space="preserve">Suporte a conectores para mainframes (Jakarta Connectors)</w:t>
      </w:r>
    </w:p>
    <w:p>
      <w:pPr>
        <w:pStyle w:val="Compact"/>
        <w:numPr>
          <w:ilvl w:val="1"/>
          <w:numId w:val="1009"/>
        </w:numPr>
      </w:pPr>
      <w:r>
        <w:t xml:space="preserve">Serviços de mensageria para integração assíncrona (Jakarta Messaging)</w:t>
      </w:r>
    </w:p>
    <w:p>
      <w:pPr>
        <w:pStyle w:val="Compact"/>
        <w:numPr>
          <w:ilvl w:val="1"/>
          <w:numId w:val="1009"/>
        </w:numPr>
      </w:pPr>
      <w:r>
        <w:t xml:space="preserve">Interoperabilidade com COBOL e outros sistemas legados</w:t>
      </w:r>
    </w:p>
    <w:p>
      <w:pPr>
        <w:numPr>
          <w:ilvl w:val="0"/>
          <w:numId w:val="1007"/>
        </w:numPr>
      </w:pPr>
      <w:r>
        <w:rPr>
          <w:b/>
          <w:bCs/>
        </w:rPr>
        <w:t xml:space="preserve">Casos de Uso em Bancos Brasileiros</w:t>
      </w:r>
    </w:p>
    <w:p>
      <w:pPr>
        <w:numPr>
          <w:ilvl w:val="0"/>
          <w:numId w:val="1000"/>
        </w:numPr>
      </w:pPr>
      <w:r>
        <w:t xml:space="preserve">Grandes instituições financeiras brasileiras mantêm investimentos significativos em Jakarta EE:</w:t>
      </w:r>
    </w:p>
    <w:p>
      <w:pPr>
        <w:pStyle w:val="Compact"/>
        <w:numPr>
          <w:ilvl w:val="1"/>
          <w:numId w:val="1010"/>
        </w:numPr>
      </w:pPr>
      <w:r>
        <w:rPr>
          <w:b/>
          <w:bCs/>
        </w:rPr>
        <w:t xml:space="preserve">Banco do Brasil</w:t>
      </w:r>
      <w:r>
        <w:t xml:space="preserve">: Sistemas de internet banking e processamento de transações</w:t>
      </w:r>
    </w:p>
    <w:p>
      <w:pPr>
        <w:pStyle w:val="Compact"/>
        <w:numPr>
          <w:ilvl w:val="1"/>
          <w:numId w:val="1010"/>
        </w:numPr>
      </w:pPr>
      <w:r>
        <w:rPr>
          <w:b/>
          <w:bCs/>
        </w:rPr>
        <w:t xml:space="preserve">Itaú-Unibanco</w:t>
      </w:r>
      <w:r>
        <w:t xml:space="preserve">: Infraestrutura crítica de processamento bancário</w:t>
      </w:r>
    </w:p>
    <w:p>
      <w:pPr>
        <w:pStyle w:val="Compact"/>
        <w:numPr>
          <w:ilvl w:val="1"/>
          <w:numId w:val="1010"/>
        </w:numPr>
      </w:pPr>
      <w:r>
        <w:rPr>
          <w:b/>
          <w:bCs/>
        </w:rPr>
        <w:t xml:space="preserve">Caixa Econômica</w:t>
      </w:r>
      <w:r>
        <w:t xml:space="preserve">: Sistemas de benefícios sociais e processamento de loterias</w:t>
      </w:r>
    </w:p>
    <w:p>
      <w:pPr>
        <w:pStyle w:val="Compact"/>
        <w:numPr>
          <w:ilvl w:val="1"/>
          <w:numId w:val="1010"/>
        </w:numPr>
      </w:pPr>
      <w:r>
        <w:rPr>
          <w:b/>
          <w:bCs/>
        </w:rPr>
        <w:t xml:space="preserve">Santander Brasil</w:t>
      </w:r>
      <w:r>
        <w:t xml:space="preserve">: Plataformas de serviços bancários digitais</w:t>
      </w:r>
    </w:p>
    <w:p>
      <w:pPr>
        <w:numPr>
          <w:ilvl w:val="0"/>
          <w:numId w:val="1000"/>
        </w:numPr>
      </w:pPr>
      <w:r>
        <w:t xml:space="preserve">Um arquiteto sênior de um dos maiores bancos do Brasil comentou, sob anonimato:</w:t>
      </w:r>
    </w:p>
    <w:p>
      <w:pPr>
        <w:pStyle w:val="BlockText"/>
        <w:numPr>
          <w:ilvl w:val="0"/>
          <w:numId w:val="1000"/>
        </w:numPr>
      </w:pPr>
      <w:r>
        <w:t xml:space="preserve">“Migramos gradualmente nossos sistemas para Jakarta EE, mantendo a compatibilidade com nossos EJBs legados. A mudança de namespace de javax para jakarta foi um desafio, mas os benefícios da governança aberta e do ritmo mais acelerado de inovação compensaram o esforço.”</w:t>
      </w:r>
    </w:p>
    <w:bookmarkEnd w:id="21"/>
    <w:bookmarkEnd w:id="22"/>
    <w:bookmarkStart w:id="26" w:name="jakarta-ee-no-varejo-moderno"/>
    <w:p>
      <w:pPr>
        <w:pStyle w:val="Heading2"/>
      </w:pPr>
      <w:r>
        <w:t xml:space="preserve">Jakarta EE no Varejo Moderno</w:t>
      </w:r>
    </w:p>
    <w:p>
      <w:pPr>
        <w:pStyle w:val="FirstParagraph"/>
      </w:pPr>
      <w:r>
        <w:t xml:space="preserve">O setor de varejo também se beneficia das capacidades do Jakarta EE, especialmente em:</w:t>
      </w:r>
    </w:p>
    <w:bookmarkStart w:id="23" w:name="sistemas-de-vendas-omnichannel"/>
    <w:p>
      <w:pPr>
        <w:pStyle w:val="Heading3"/>
      </w:pPr>
      <w:r>
        <w:t xml:space="preserve">Sistemas de Vendas Omnichannel</w:t>
      </w:r>
    </w:p>
    <w:p>
      <w:pPr>
        <w:pStyle w:val="FirstParagraph"/>
      </w:pPr>
      <w:r>
        <w:t xml:space="preserve">As grandes redes varejistas precisam integrar lojas físicas, e-commerce, marketplaces e aplicativos móveis:</w:t>
      </w:r>
    </w:p>
    <w:p>
      <w:pPr>
        <w:pStyle w:val="SourceCode"/>
      </w:pPr>
      <w:r>
        <w:rPr>
          <w:rStyle w:val="AttributeTok"/>
        </w:rPr>
        <w:t xml:space="preserve">@Path</w:t>
      </w:r>
      <w:r>
        <w:rPr>
          <w:rStyle w:val="OperatorTok"/>
        </w:rPr>
        <w:t xml:space="preserve">(</w:t>
      </w:r>
      <w:r>
        <w:rPr>
          <w:rStyle w:val="StringTok"/>
        </w:rPr>
        <w:t xml:space="preserve">"/estoque"</w:t>
      </w:r>
      <w:r>
        <w:rPr>
          <w:rStyle w:val="OperatorTok"/>
        </w:rPr>
        <w:t xml:space="preserve">)</w:t>
      </w:r>
      <w:r>
        <w:br/>
      </w:r>
      <w:r>
        <w:rPr>
          <w:rStyle w:val="AttributeTok"/>
        </w:rPr>
        <w:t xml:space="preserve">@ApplicationScoped</w:t>
      </w:r>
      <w:r>
        <w:br/>
      </w:r>
      <w:r>
        <w:rPr>
          <w:rStyle w:val="KeywordTok"/>
        </w:rPr>
        <w:t xml:space="preserve">public</w:t>
      </w:r>
      <w:r>
        <w:rPr>
          <w:rStyle w:val="NormalTok"/>
        </w:rPr>
        <w:t xml:space="preserve"> </w:t>
      </w:r>
      <w:r>
        <w:rPr>
          <w:rStyle w:val="KeywordTok"/>
        </w:rPr>
        <w:t xml:space="preserve">class</w:t>
      </w:r>
      <w:r>
        <w:rPr>
          <w:rStyle w:val="NormalTok"/>
        </w:rPr>
        <w:t xml:space="preserve"> GerenciadorEstoqueResource </w:t>
      </w:r>
      <w:r>
        <w:rPr>
          <w:rStyle w:val="OperatorTok"/>
        </w:rPr>
        <w:t xml:space="preserve">{</w:t>
      </w:r>
      <w:r>
        <w:br/>
      </w:r>
      <w:r>
        <w:rPr>
          <w:rStyle w:val="NormalTok"/>
        </w:rPr>
        <w:t xml:space="preserve">    </w:t>
      </w:r>
      <w:r>
        <w:br/>
      </w:r>
      <w:r>
        <w:rPr>
          <w:rStyle w:val="NormalTok"/>
        </w:rPr>
        <w:t xml:space="preserve">    </w:t>
      </w:r>
      <w:r>
        <w:rPr>
          <w:rStyle w:val="AttributeTok"/>
        </w:rPr>
        <w:t xml:space="preserve">@Inject</w:t>
      </w:r>
      <w:r>
        <w:br/>
      </w:r>
      <w:r>
        <w:rPr>
          <w:rStyle w:val="NormalTok"/>
        </w:rPr>
        <w:t xml:space="preserve">    </w:t>
      </w:r>
      <w:r>
        <w:rPr>
          <w:rStyle w:val="KeywordTok"/>
        </w:rPr>
        <w:t xml:space="preserve">private</w:t>
      </w:r>
      <w:r>
        <w:rPr>
          <w:rStyle w:val="NormalTok"/>
        </w:rPr>
        <w:t xml:space="preserve"> EstoqueService service</w:t>
      </w:r>
      <w:r>
        <w:rPr>
          <w:rStyle w:val="OperatorTok"/>
        </w:rPr>
        <w:t xml:space="preserve">;</w:t>
      </w:r>
      <w:r>
        <w:br/>
      </w:r>
      <w:r>
        <w:rPr>
          <w:rStyle w:val="NormalTok"/>
        </w:rPr>
        <w:t xml:space="preserve">    </w:t>
      </w:r>
      <w:r>
        <w:br/>
      </w:r>
      <w:r>
        <w:rPr>
          <w:rStyle w:val="NormalTok"/>
        </w:rPr>
        <w:t xml:space="preserve">    </w:t>
      </w:r>
      <w:r>
        <w:rPr>
          <w:rStyle w:val="AttributeTok"/>
        </w:rPr>
        <w:t xml:space="preserve">@GET</w:t>
      </w:r>
      <w:r>
        <w:br/>
      </w:r>
      <w:r>
        <w:rPr>
          <w:rStyle w:val="NormalTok"/>
        </w:rPr>
        <w:t xml:space="preserve">    </w:t>
      </w:r>
      <w:r>
        <w:rPr>
          <w:rStyle w:val="AttributeTok"/>
        </w:rPr>
        <w:t xml:space="preserve">@Path</w:t>
      </w:r>
      <w:r>
        <w:rPr>
          <w:rStyle w:val="OperatorTok"/>
        </w:rPr>
        <w:t xml:space="preserve">(</w:t>
      </w:r>
      <w:r>
        <w:rPr>
          <w:rStyle w:val="StringTok"/>
        </w:rPr>
        <w:t xml:space="preserve">"/{produtoId}/disponibilidade"</w:t>
      </w:r>
      <w:r>
        <w:rPr>
          <w:rStyle w:val="OperatorTok"/>
        </w:rPr>
        <w:t xml:space="preserve">)</w:t>
      </w:r>
      <w:r>
        <w:br/>
      </w:r>
      <w:r>
        <w:rPr>
          <w:rStyle w:val="NormalTok"/>
        </w:rPr>
        <w:t xml:space="preserve">    </w:t>
      </w:r>
      <w:r>
        <w:rPr>
          <w:rStyle w:val="AttributeTok"/>
        </w:rPr>
        <w:t xml:space="preserve">@Produces</w:t>
      </w:r>
      <w:r>
        <w:rPr>
          <w:rStyle w:val="OperatorTok"/>
        </w:rPr>
        <w:t xml:space="preserve">(</w:t>
      </w:r>
      <w:r>
        <w:rPr>
          <w:rStyle w:val="NormalTok"/>
        </w:rPr>
        <w:t xml:space="preserve">MediaType</w:t>
      </w:r>
      <w:r>
        <w:rPr>
          <w:rStyle w:val="OperatorTok"/>
        </w:rPr>
        <w:t xml:space="preserve">.</w:t>
      </w:r>
      <w:r>
        <w:rPr>
          <w:rStyle w:val="FunctionTok"/>
        </w:rPr>
        <w:t xml:space="preserve">APPLICATION_JSON</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Response</w:t>
      </w:r>
      <w:r>
        <w:rPr>
          <w:rStyle w:val="NormalTok"/>
        </w:rPr>
        <w:t xml:space="preserve"> </w:t>
      </w:r>
      <w:r>
        <w:rPr>
          <w:rStyle w:val="FunctionTok"/>
        </w:rPr>
        <w:t xml:space="preserve">verificarDisponibilidade</w:t>
      </w:r>
      <w:r>
        <w:rPr>
          <w:rStyle w:val="OperatorTok"/>
        </w:rPr>
        <w:t xml:space="preserve">(</w:t>
      </w:r>
      <w:r>
        <w:rPr>
          <w:rStyle w:val="AttributeTok"/>
        </w:rPr>
        <w:t xml:space="preserve">@PathParam</w:t>
      </w:r>
      <w:r>
        <w:rPr>
          <w:rStyle w:val="OperatorTok"/>
        </w:rPr>
        <w:t xml:space="preserve">(</w:t>
      </w:r>
      <w:r>
        <w:rPr>
          <w:rStyle w:val="StringTok"/>
        </w:rPr>
        <w:t xml:space="preserve">"produtoId"</w:t>
      </w:r>
      <w:r>
        <w:rPr>
          <w:rStyle w:val="OperatorTok"/>
        </w:rPr>
        <w:t xml:space="preserve">)</w:t>
      </w:r>
      <w:r>
        <w:rPr>
          <w:rStyle w:val="NormalTok"/>
        </w:rPr>
        <w:t xml:space="preserve"> </w:t>
      </w:r>
      <w:r>
        <w:rPr>
          <w:rStyle w:val="DataTypeTok"/>
        </w:rPr>
        <w:t xml:space="preserve">long</w:t>
      </w:r>
      <w:r>
        <w:rPr>
          <w:rStyle w:val="NormalTok"/>
        </w:rPr>
        <w:t xml:space="preserve"> produtoId</w:t>
      </w:r>
      <w:r>
        <w:rPr>
          <w:rStyle w:val="OperatorTok"/>
        </w:rPr>
        <w:t xml:space="preserve">,</w:t>
      </w:r>
      <w:r>
        <w:br/>
      </w:r>
      <w:r>
        <w:rPr>
          <w:rStyle w:val="NormalTok"/>
        </w:rPr>
        <w:t xml:space="preserve">                                           </w:t>
      </w:r>
      <w:r>
        <w:rPr>
          <w:rStyle w:val="AttributeTok"/>
        </w:rPr>
        <w:t xml:space="preserve">@QueryParam</w:t>
      </w:r>
      <w:r>
        <w:rPr>
          <w:rStyle w:val="OperatorTok"/>
        </w:rPr>
        <w:t xml:space="preserve">(</w:t>
      </w:r>
      <w:r>
        <w:rPr>
          <w:rStyle w:val="StringTok"/>
        </w:rPr>
        <w:t xml:space="preserve">"lojaId"</w:t>
      </w:r>
      <w:r>
        <w:rPr>
          <w:rStyle w:val="OperatorTok"/>
        </w:rPr>
        <w:t xml:space="preserve">)</w:t>
      </w:r>
      <w:r>
        <w:rPr>
          <w:rStyle w:val="NormalTok"/>
        </w:rPr>
        <w:t xml:space="preserve"> </w:t>
      </w:r>
      <w:r>
        <w:rPr>
          <w:rStyle w:val="BuiltInTok"/>
        </w:rPr>
        <w:t xml:space="preserve">Long</w:t>
      </w:r>
      <w:r>
        <w:rPr>
          <w:rStyle w:val="NormalTok"/>
        </w:rPr>
        <w:t xml:space="preserve"> lojaId</w:t>
      </w:r>
      <w:r>
        <w:rPr>
          <w:rStyle w:val="OperatorTok"/>
        </w:rPr>
        <w:t xml:space="preserve">)</w:t>
      </w:r>
      <w:r>
        <w:rPr>
          <w:rStyle w:val="NormalTok"/>
        </w:rPr>
        <w:t xml:space="preserve"> </w:t>
      </w:r>
      <w:r>
        <w:rPr>
          <w:rStyle w:val="OperatorTok"/>
        </w:rPr>
        <w:t xml:space="preserve">{</w:t>
      </w:r>
      <w:r>
        <w:br/>
      </w:r>
      <w:r>
        <w:rPr>
          <w:rStyle w:val="NormalTok"/>
        </w:rPr>
        <w:t xml:space="preserve">        DisponibilidadeProduto disponibilidade</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lojaId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Verifica estoque na loja específica</w:t>
      </w:r>
      <w:r>
        <w:br/>
      </w:r>
      <w:r>
        <w:rPr>
          <w:rStyle w:val="NormalTok"/>
        </w:rPr>
        <w:t xml:space="preserve">            disponibilidade </w:t>
      </w:r>
      <w:r>
        <w:rPr>
          <w:rStyle w:val="OperatorTok"/>
        </w:rPr>
        <w:t xml:space="preserve">=</w:t>
      </w:r>
      <w:r>
        <w:rPr>
          <w:rStyle w:val="NormalTok"/>
        </w:rPr>
        <w:t xml:space="preserve"> service</w:t>
      </w:r>
      <w:r>
        <w:rPr>
          <w:rStyle w:val="OperatorTok"/>
        </w:rPr>
        <w:t xml:space="preserve">.</w:t>
      </w:r>
      <w:r>
        <w:rPr>
          <w:rStyle w:val="FunctionTok"/>
        </w:rPr>
        <w:t xml:space="preserve">verificarDisponibilidadeLoja</w:t>
      </w:r>
      <w:r>
        <w:rPr>
          <w:rStyle w:val="OperatorTok"/>
        </w:rPr>
        <w:t xml:space="preserve">(</w:t>
      </w:r>
      <w:r>
        <w:rPr>
          <w:rStyle w:val="NormalTok"/>
        </w:rPr>
        <w:t xml:space="preserve">produtoId</w:t>
      </w:r>
      <w:r>
        <w:rPr>
          <w:rStyle w:val="OperatorTok"/>
        </w:rPr>
        <w:t xml:space="preserve">,</w:t>
      </w:r>
      <w:r>
        <w:rPr>
          <w:rStyle w:val="NormalTok"/>
        </w:rPr>
        <w:t xml:space="preserve"> lojaId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Verifica estoque em todas as lojas e centro de distribuição</w:t>
      </w:r>
      <w:r>
        <w:br/>
      </w:r>
      <w:r>
        <w:rPr>
          <w:rStyle w:val="NormalTok"/>
        </w:rPr>
        <w:t xml:space="preserve">            disponibilidade </w:t>
      </w:r>
      <w:r>
        <w:rPr>
          <w:rStyle w:val="OperatorTok"/>
        </w:rPr>
        <w:t xml:space="preserve">=</w:t>
      </w:r>
      <w:r>
        <w:rPr>
          <w:rStyle w:val="NormalTok"/>
        </w:rPr>
        <w:t xml:space="preserve"> service</w:t>
      </w:r>
      <w:r>
        <w:rPr>
          <w:rStyle w:val="OperatorTok"/>
        </w:rPr>
        <w:t xml:space="preserve">.</w:t>
      </w:r>
      <w:r>
        <w:rPr>
          <w:rStyle w:val="FunctionTok"/>
        </w:rPr>
        <w:t xml:space="preserve">verificarDisponibilidadeGlobal</w:t>
      </w:r>
      <w:r>
        <w:rPr>
          <w:rStyle w:val="OperatorTok"/>
        </w:rPr>
        <w:t xml:space="preserve">(</w:t>
      </w:r>
      <w:r>
        <w:rPr>
          <w:rStyle w:val="NormalTok"/>
        </w:rPr>
        <w:t xml:space="preserve">produtoId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Response</w:t>
      </w:r>
      <w:r>
        <w:rPr>
          <w:rStyle w:val="OperatorTok"/>
        </w:rPr>
        <w:t xml:space="preserve">.</w:t>
      </w:r>
      <w:r>
        <w:rPr>
          <w:rStyle w:val="FunctionTok"/>
        </w:rPr>
        <w:t xml:space="preserve">ok</w:t>
      </w:r>
      <w:r>
        <w:rPr>
          <w:rStyle w:val="OperatorTok"/>
        </w:rPr>
        <w:t xml:space="preserve">(</w:t>
      </w:r>
      <w:r>
        <w:rPr>
          <w:rStyle w:val="NormalTok"/>
        </w:rPr>
        <w:t xml:space="preserve">disponibilidade</w:t>
      </w:r>
      <w:r>
        <w:rPr>
          <w:rStyle w:val="OperatorTok"/>
        </w:rPr>
        <w:t xml:space="preserve">).</w:t>
      </w:r>
      <w:r>
        <w:rPr>
          <w:rStyle w:val="FunctionTok"/>
        </w:rPr>
        <w:t xml:space="preserve">build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@POST</w:t>
      </w:r>
      <w:r>
        <w:br/>
      </w:r>
      <w:r>
        <w:rPr>
          <w:rStyle w:val="NormalTok"/>
        </w:rPr>
        <w:t xml:space="preserve">    </w:t>
      </w:r>
      <w:r>
        <w:rPr>
          <w:rStyle w:val="AttributeTok"/>
        </w:rPr>
        <w:t xml:space="preserve">@Path</w:t>
      </w:r>
      <w:r>
        <w:rPr>
          <w:rStyle w:val="OperatorTok"/>
        </w:rPr>
        <w:t xml:space="preserve">(</w:t>
      </w:r>
      <w:r>
        <w:rPr>
          <w:rStyle w:val="StringTok"/>
        </w:rPr>
        <w:t xml:space="preserve">"/reserva"</w:t>
      </w:r>
      <w:r>
        <w:rPr>
          <w:rStyle w:val="OperatorTok"/>
        </w:rPr>
        <w:t xml:space="preserve">)</w:t>
      </w:r>
      <w:r>
        <w:br/>
      </w:r>
      <w:r>
        <w:rPr>
          <w:rStyle w:val="NormalTok"/>
        </w:rPr>
        <w:t xml:space="preserve">    </w:t>
      </w:r>
      <w:r>
        <w:rPr>
          <w:rStyle w:val="AttributeTok"/>
        </w:rPr>
        <w:t xml:space="preserve">@Consumes</w:t>
      </w:r>
      <w:r>
        <w:rPr>
          <w:rStyle w:val="OperatorTok"/>
        </w:rPr>
        <w:t xml:space="preserve">(</w:t>
      </w:r>
      <w:r>
        <w:rPr>
          <w:rStyle w:val="NormalTok"/>
        </w:rPr>
        <w:t xml:space="preserve">MediaType</w:t>
      </w:r>
      <w:r>
        <w:rPr>
          <w:rStyle w:val="OperatorTok"/>
        </w:rPr>
        <w:t xml:space="preserve">.</w:t>
      </w:r>
      <w:r>
        <w:rPr>
          <w:rStyle w:val="FunctionTok"/>
        </w:rPr>
        <w:t xml:space="preserve">APPLICATION_JSON</w:t>
      </w:r>
      <w:r>
        <w:rPr>
          <w:rStyle w:val="OperatorTok"/>
        </w:rPr>
        <w:t xml:space="preserve">)</w:t>
      </w:r>
      <w:r>
        <w:br/>
      </w:r>
      <w:r>
        <w:rPr>
          <w:rStyle w:val="NormalTok"/>
        </w:rPr>
        <w:t xml:space="preserve">    </w:t>
      </w:r>
      <w:r>
        <w:rPr>
          <w:rStyle w:val="AttributeTok"/>
        </w:rPr>
        <w:t xml:space="preserve">@Produces</w:t>
      </w:r>
      <w:r>
        <w:rPr>
          <w:rStyle w:val="OperatorTok"/>
        </w:rPr>
        <w:t xml:space="preserve">(</w:t>
      </w:r>
      <w:r>
        <w:rPr>
          <w:rStyle w:val="NormalTok"/>
        </w:rPr>
        <w:t xml:space="preserve">MediaType</w:t>
      </w:r>
      <w:r>
        <w:rPr>
          <w:rStyle w:val="OperatorTok"/>
        </w:rPr>
        <w:t xml:space="preserve">.</w:t>
      </w:r>
      <w:r>
        <w:rPr>
          <w:rStyle w:val="FunctionTok"/>
        </w:rPr>
        <w:t xml:space="preserve">APPLICATION_JSON</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Response</w:t>
      </w:r>
      <w:r>
        <w:rPr>
          <w:rStyle w:val="NormalTok"/>
        </w:rPr>
        <w:t xml:space="preserve"> </w:t>
      </w:r>
      <w:r>
        <w:rPr>
          <w:rStyle w:val="FunctionTok"/>
        </w:rPr>
        <w:t xml:space="preserve">reservarProduto</w:t>
      </w:r>
      <w:r>
        <w:rPr>
          <w:rStyle w:val="OperatorTok"/>
        </w:rPr>
        <w:t xml:space="preserve">(</w:t>
      </w:r>
      <w:r>
        <w:rPr>
          <w:rStyle w:val="NormalTok"/>
        </w:rPr>
        <w:t xml:space="preserve">ReservaProdutoRequest request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Lógica transacional para reserva de produtos</w:t>
      </w:r>
      <w:r>
        <w:br/>
      </w:r>
      <w:r>
        <w:rPr>
          <w:rStyle w:val="NormalTok"/>
        </w:rPr>
        <w:t xml:space="preserve">        ReservaProduto reserva </w:t>
      </w:r>
      <w:r>
        <w:rPr>
          <w:rStyle w:val="OperatorTok"/>
        </w:rPr>
        <w:t xml:space="preserve">=</w:t>
      </w:r>
      <w:r>
        <w:rPr>
          <w:rStyle w:val="NormalTok"/>
        </w:rPr>
        <w:t xml:space="preserve"> service</w:t>
      </w:r>
      <w:r>
        <w:rPr>
          <w:rStyle w:val="OperatorTok"/>
        </w:rPr>
        <w:t xml:space="preserve">.</w:t>
      </w:r>
      <w:r>
        <w:rPr>
          <w:rStyle w:val="FunctionTok"/>
        </w:rPr>
        <w:t xml:space="preserve">reservarProduto</w:t>
      </w:r>
      <w:r>
        <w:rPr>
          <w:rStyle w:val="OperatorTok"/>
        </w:rPr>
        <w:t xml:space="preserve">(</w:t>
      </w:r>
      <w:r>
        <w:br/>
      </w:r>
      <w:r>
        <w:rPr>
          <w:rStyle w:val="NormalTok"/>
        </w:rPr>
        <w:t xml:space="preserve">            request</w:t>
      </w:r>
      <w:r>
        <w:rPr>
          <w:rStyle w:val="OperatorTok"/>
        </w:rPr>
        <w:t xml:space="preserve">.</w:t>
      </w:r>
      <w:r>
        <w:rPr>
          <w:rStyle w:val="FunctionTok"/>
        </w:rPr>
        <w:t xml:space="preserve">getProdutoId</w:t>
      </w:r>
      <w:r>
        <w:rPr>
          <w:rStyle w:val="OperatorTok"/>
        </w:rPr>
        <w:t xml:space="preserve">(),</w:t>
      </w:r>
      <w:r>
        <w:br/>
      </w:r>
      <w:r>
        <w:rPr>
          <w:rStyle w:val="NormalTok"/>
        </w:rPr>
        <w:t xml:space="preserve">            request</w:t>
      </w:r>
      <w:r>
        <w:rPr>
          <w:rStyle w:val="OperatorTok"/>
        </w:rPr>
        <w:t xml:space="preserve">.</w:t>
      </w:r>
      <w:r>
        <w:rPr>
          <w:rStyle w:val="FunctionTok"/>
        </w:rPr>
        <w:t xml:space="preserve">getQuantidade</w:t>
      </w:r>
      <w:r>
        <w:rPr>
          <w:rStyle w:val="OperatorTok"/>
        </w:rPr>
        <w:t xml:space="preserve">(),</w:t>
      </w:r>
      <w:r>
        <w:br/>
      </w:r>
      <w:r>
        <w:rPr>
          <w:rStyle w:val="NormalTok"/>
        </w:rPr>
        <w:t xml:space="preserve">            request</w:t>
      </w:r>
      <w:r>
        <w:rPr>
          <w:rStyle w:val="OperatorTok"/>
        </w:rPr>
        <w:t xml:space="preserve">.</w:t>
      </w:r>
      <w:r>
        <w:rPr>
          <w:rStyle w:val="FunctionTok"/>
        </w:rPr>
        <w:t xml:space="preserve">getLojaId</w:t>
      </w:r>
      <w:r>
        <w:rPr>
          <w:rStyle w:val="OperatorTok"/>
        </w:rPr>
        <w:t xml:space="preserve">(),</w:t>
      </w:r>
      <w:r>
        <w:br/>
      </w:r>
      <w:r>
        <w:rPr>
          <w:rStyle w:val="NormalTok"/>
        </w:rPr>
        <w:t xml:space="preserve">            request</w:t>
      </w:r>
      <w:r>
        <w:rPr>
          <w:rStyle w:val="OperatorTok"/>
        </w:rPr>
        <w:t xml:space="preserve">.</w:t>
      </w:r>
      <w:r>
        <w:rPr>
          <w:rStyle w:val="FunctionTok"/>
        </w:rPr>
        <w:t xml:space="preserve">getClienteId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Response</w:t>
      </w:r>
      <w:r>
        <w:rPr>
          <w:rStyle w:val="OperatorTok"/>
        </w:rPr>
        <w:t xml:space="preserve">.</w:t>
      </w:r>
      <w:r>
        <w:rPr>
          <w:rStyle w:val="FunctionTok"/>
        </w:rPr>
        <w:t xml:space="preserve">status</w:t>
      </w:r>
      <w:r>
        <w:rPr>
          <w:rStyle w:val="OperatorTok"/>
        </w:rPr>
        <w:t xml:space="preserve">(</w:t>
      </w:r>
      <w:r>
        <w:rPr>
          <w:rStyle w:val="BuiltInTok"/>
        </w:rPr>
        <w:t xml:space="preserve">Response</w:t>
      </w:r>
      <w:r>
        <w:rPr>
          <w:rStyle w:val="OperatorTok"/>
        </w:rPr>
        <w:t xml:space="preserve">.</w:t>
      </w:r>
      <w:r>
        <w:rPr>
          <w:rStyle w:val="FunctionTok"/>
        </w:rPr>
        <w:t xml:space="preserve">Status</w:t>
      </w:r>
      <w:r>
        <w:rPr>
          <w:rStyle w:val="OperatorTok"/>
        </w:rPr>
        <w:t xml:space="preserve">.</w:t>
      </w:r>
      <w:r>
        <w:rPr>
          <w:rStyle w:val="FunctionTok"/>
        </w:rPr>
        <w:t xml:space="preserve">CREATED</w:t>
      </w:r>
      <w:r>
        <w:rPr>
          <w:rStyle w:val="OperatorTok"/>
        </w:rPr>
        <w:t xml:space="preserve">)</w:t>
      </w:r>
      <w:r>
        <w:br/>
      </w:r>
      <w:r>
        <w:rPr>
          <w:rStyle w:val="NormalTok"/>
        </w:rPr>
        <w:t xml:space="preserve">                    </w:t>
      </w:r>
      <w:r>
        <w:rPr>
          <w:rStyle w:val="OperatorTok"/>
        </w:rPr>
        <w:t xml:space="preserve">.</w:t>
      </w:r>
      <w:r>
        <w:rPr>
          <w:rStyle w:val="FunctionTok"/>
        </w:rPr>
        <w:t xml:space="preserve">entity</w:t>
      </w:r>
      <w:r>
        <w:rPr>
          <w:rStyle w:val="OperatorTok"/>
        </w:rPr>
        <w:t xml:space="preserve">(</w:t>
      </w:r>
      <w:r>
        <w:rPr>
          <w:rStyle w:val="NormalTok"/>
        </w:rPr>
        <w:t xml:space="preserve">reserva</w:t>
      </w:r>
      <w:r>
        <w:rPr>
          <w:rStyle w:val="OperatorTok"/>
        </w:rPr>
        <w:t xml:space="preserve">)</w:t>
      </w:r>
      <w:r>
        <w:br/>
      </w:r>
      <w:r>
        <w:rPr>
          <w:rStyle w:val="NormalTok"/>
        </w:rPr>
        <w:t xml:space="preserve">                    </w:t>
      </w:r>
      <w:r>
        <w:rPr>
          <w:rStyle w:val="OperatorTok"/>
        </w:rPr>
        <w:t xml:space="preserve">.</w:t>
      </w:r>
      <w:r>
        <w:rPr>
          <w:rStyle w:val="FunctionTok"/>
        </w:rPr>
        <w:t xml:space="preserve">build</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3"/>
    <w:bookmarkStart w:id="24" w:name="gerenciamento-de-grande-volume-de-dados"/>
    <w:p>
      <w:pPr>
        <w:pStyle w:val="Heading3"/>
      </w:pPr>
      <w:r>
        <w:t xml:space="preserve">Gerenciamento de Grande Volume de Dados</w:t>
      </w:r>
    </w:p>
    <w:p>
      <w:pPr>
        <w:pStyle w:val="FirstParagraph"/>
      </w:pPr>
      <w:r>
        <w:t xml:space="preserve">Varejistas como Magazine Luiza, Via Varejo e Americanas utilizam Jakarta EE para:</w:t>
      </w:r>
    </w:p>
    <w:p>
      <w:pPr>
        <w:pStyle w:val="Compact"/>
        <w:numPr>
          <w:ilvl w:val="0"/>
          <w:numId w:val="1011"/>
        </w:numPr>
      </w:pPr>
      <w:r>
        <w:t xml:space="preserve">Processamento de milhões de pedidos diários</w:t>
      </w:r>
    </w:p>
    <w:p>
      <w:pPr>
        <w:pStyle w:val="Compact"/>
        <w:numPr>
          <w:ilvl w:val="0"/>
          <w:numId w:val="1011"/>
        </w:numPr>
      </w:pPr>
      <w:r>
        <w:t xml:space="preserve">Sistemas de recomendação e personalização</w:t>
      </w:r>
    </w:p>
    <w:p>
      <w:pPr>
        <w:pStyle w:val="Compact"/>
        <w:numPr>
          <w:ilvl w:val="0"/>
          <w:numId w:val="1011"/>
        </w:numPr>
      </w:pPr>
      <w:r>
        <w:t xml:space="preserve">Gerenciamento de catálogos com milhões de SKUs</w:t>
      </w:r>
    </w:p>
    <w:p>
      <w:pPr>
        <w:pStyle w:val="Compact"/>
        <w:numPr>
          <w:ilvl w:val="0"/>
          <w:numId w:val="1011"/>
        </w:numPr>
      </w:pPr>
      <w:r>
        <w:t xml:space="preserve">Integração com fornecedores e marketplaces</w:t>
      </w:r>
    </w:p>
    <w:bookmarkEnd w:id="24"/>
    <w:bookmarkStart w:id="25" w:name="Xf16942597779cb5c40e008e523b835f83983110"/>
    <w:p>
      <w:pPr>
        <w:pStyle w:val="Heading3"/>
      </w:pPr>
      <w:r>
        <w:t xml:space="preserve">Exemplos de Implementações no Varejo Brasileiro</w:t>
      </w:r>
    </w:p>
    <w:p>
      <w:pPr>
        <w:pStyle w:val="Compact"/>
        <w:numPr>
          <w:ilvl w:val="0"/>
          <w:numId w:val="1012"/>
        </w:numPr>
      </w:pPr>
      <w:r>
        <w:rPr>
          <w:b/>
          <w:bCs/>
        </w:rPr>
        <w:t xml:space="preserve">Magazine Luiza</w:t>
      </w:r>
      <w:r>
        <w:t xml:space="preserve">: Sistemas de gestão de estoque e pedidos</w:t>
      </w:r>
    </w:p>
    <w:p>
      <w:pPr>
        <w:pStyle w:val="Compact"/>
        <w:numPr>
          <w:ilvl w:val="0"/>
          <w:numId w:val="1012"/>
        </w:numPr>
      </w:pPr>
      <w:r>
        <w:rPr>
          <w:b/>
          <w:bCs/>
        </w:rPr>
        <w:t xml:space="preserve">B2W Digital</w:t>
      </w:r>
      <w:r>
        <w:t xml:space="preserve">: Plataforma de e-commerce unificada</w:t>
      </w:r>
    </w:p>
    <w:p>
      <w:pPr>
        <w:pStyle w:val="Compact"/>
        <w:numPr>
          <w:ilvl w:val="0"/>
          <w:numId w:val="1012"/>
        </w:numPr>
      </w:pPr>
      <w:r>
        <w:rPr>
          <w:b/>
          <w:bCs/>
        </w:rPr>
        <w:t xml:space="preserve">Grupo Pão de Açúcar</w:t>
      </w:r>
      <w:r>
        <w:t xml:space="preserve">: Sistemas de fidelidade e CRM</w:t>
      </w:r>
    </w:p>
    <w:p>
      <w:pPr>
        <w:pStyle w:val="Compact"/>
        <w:numPr>
          <w:ilvl w:val="0"/>
          <w:numId w:val="1012"/>
        </w:numPr>
      </w:pPr>
      <w:r>
        <w:rPr>
          <w:b/>
          <w:bCs/>
        </w:rPr>
        <w:t xml:space="preserve">Lojas Renner</w:t>
      </w:r>
      <w:r>
        <w:t xml:space="preserve">: Infraestrutura omnichannel</w:t>
      </w:r>
    </w:p>
    <w:p>
      <w:pPr>
        <w:pStyle w:val="FirstParagraph"/>
      </w:pPr>
      <w:r>
        <w:t xml:space="preserve">Um diretor de tecnologia de uma grande rede varejista brasileira compartilhou:</w:t>
      </w:r>
    </w:p>
    <w:p>
      <w:pPr>
        <w:pStyle w:val="BlockText"/>
      </w:pPr>
      <w:r>
        <w:t xml:space="preserve">“Nossa arquitetura combina microserviços modernos com sistemas core em Jakarta EE. Utilizamos EJBs e JPA para componentes críticos de negócio como processamento de pedidos e gestão financeira, enquanto adotamos APIs REST para integrações externas e front-ends.”</w:t>
      </w:r>
    </w:p>
    <w:bookmarkEnd w:id="25"/>
    <w:bookmarkEnd w:id="26"/>
    <w:bookmarkStart w:id="29" w:name="desafios-e-estratégias-de-modernização"/>
    <w:p>
      <w:pPr>
        <w:pStyle w:val="Heading2"/>
      </w:pPr>
      <w:r>
        <w:t xml:space="preserve">Desafios e Estratégias de Modernização</w:t>
      </w:r>
    </w:p>
    <w:p>
      <w:pPr>
        <w:pStyle w:val="FirstParagraph"/>
      </w:pPr>
      <w:r>
        <w:t xml:space="preserve">Organizações que utilizam Jakarta EE enfrentam desafios específicos na era da computação em nuvem:</w:t>
      </w:r>
    </w:p>
    <w:bookmarkStart w:id="27" w:name="desafios-comuns"/>
    <w:p>
      <w:pPr>
        <w:pStyle w:val="Heading3"/>
      </w:pPr>
      <w:r>
        <w:t xml:space="preserve">Desafios Comuns</w:t>
      </w:r>
    </w:p>
    <w:p>
      <w:pPr>
        <w:pStyle w:val="Compact"/>
        <w:numPr>
          <w:ilvl w:val="0"/>
          <w:numId w:val="1013"/>
        </w:numPr>
      </w:pPr>
      <w:r>
        <w:rPr>
          <w:b/>
          <w:bCs/>
        </w:rPr>
        <w:t xml:space="preserve">Footprint de Memória e Startup</w:t>
      </w:r>
    </w:p>
    <w:p>
      <w:pPr>
        <w:pStyle w:val="Compact"/>
        <w:numPr>
          <w:ilvl w:val="1"/>
          <w:numId w:val="1014"/>
        </w:numPr>
      </w:pPr>
      <w:r>
        <w:t xml:space="preserve">Servidores tradicionais podem ser pesados para arquiteturas baseadas em nuvem</w:t>
      </w:r>
    </w:p>
    <w:p>
      <w:pPr>
        <w:pStyle w:val="Compact"/>
        <w:numPr>
          <w:ilvl w:val="1"/>
          <w:numId w:val="1014"/>
        </w:numPr>
      </w:pPr>
      <w:r>
        <w:t xml:space="preserve">Tempo de inicialização mais lento comparado a soluções nativas para nuvem</w:t>
      </w:r>
    </w:p>
    <w:p>
      <w:pPr>
        <w:pStyle w:val="Compact"/>
        <w:numPr>
          <w:ilvl w:val="0"/>
          <w:numId w:val="1013"/>
        </w:numPr>
      </w:pPr>
      <w:r>
        <w:rPr>
          <w:b/>
          <w:bCs/>
        </w:rPr>
        <w:t xml:space="preserve">Integração com Arquiteturas de Microserviços</w:t>
      </w:r>
    </w:p>
    <w:p>
      <w:pPr>
        <w:pStyle w:val="Compact"/>
        <w:numPr>
          <w:ilvl w:val="1"/>
          <w:numId w:val="1015"/>
        </w:numPr>
      </w:pPr>
      <w:r>
        <w:t xml:space="preserve">Decomposição de monólitos EJB</w:t>
      </w:r>
    </w:p>
    <w:p>
      <w:pPr>
        <w:pStyle w:val="Compact"/>
        <w:numPr>
          <w:ilvl w:val="1"/>
          <w:numId w:val="1015"/>
        </w:numPr>
      </w:pPr>
      <w:r>
        <w:t xml:space="preserve">Balanceamento entre centralização transacional e distribuição de serviços</w:t>
      </w:r>
    </w:p>
    <w:p>
      <w:pPr>
        <w:pStyle w:val="Compact"/>
        <w:numPr>
          <w:ilvl w:val="0"/>
          <w:numId w:val="1013"/>
        </w:numPr>
      </w:pPr>
      <w:r>
        <w:rPr>
          <w:b/>
          <w:bCs/>
        </w:rPr>
        <w:t xml:space="preserve">Curva de Aprendizado para Novos Desenvolvedores</w:t>
      </w:r>
    </w:p>
    <w:p>
      <w:pPr>
        <w:pStyle w:val="Compact"/>
        <w:numPr>
          <w:ilvl w:val="1"/>
          <w:numId w:val="1016"/>
        </w:numPr>
      </w:pPr>
      <w:r>
        <w:t xml:space="preserve">Geração mais recente de desenvolvedores menos familiarizada com Java EE/Jakarta EE</w:t>
      </w:r>
    </w:p>
    <w:p>
      <w:pPr>
        <w:pStyle w:val="Compact"/>
        <w:numPr>
          <w:ilvl w:val="1"/>
          <w:numId w:val="1016"/>
        </w:numPr>
      </w:pPr>
      <w:r>
        <w:t xml:space="preserve">Concorrência de frameworks mais novos com menor curva de aprendizado</w:t>
      </w:r>
    </w:p>
    <w:bookmarkEnd w:id="27"/>
    <w:bookmarkStart w:id="28" w:name="estratégias-de-modernização"/>
    <w:p>
      <w:pPr>
        <w:pStyle w:val="Heading3"/>
      </w:pPr>
      <w:r>
        <w:t xml:space="preserve">Estratégias de Modernização</w:t>
      </w:r>
    </w:p>
    <w:p>
      <w:pPr>
        <w:pStyle w:val="FirstParagraph"/>
      </w:pPr>
      <w:r>
        <w:t xml:space="preserve">As organizações têm adotado abordagens pragmáticas para evoluir seus sistemas Jakarta EE:</w:t>
      </w:r>
    </w:p>
    <w:p>
      <w:pPr>
        <w:pStyle w:val="Compact"/>
        <w:numPr>
          <w:ilvl w:val="0"/>
          <w:numId w:val="1017"/>
        </w:numPr>
      </w:pPr>
      <w:r>
        <w:rPr>
          <w:b/>
          <w:bCs/>
        </w:rPr>
        <w:t xml:space="preserve">Abordagem</w:t>
      </w:r>
      <w:r>
        <w:rPr>
          <w:b/>
          <w:bCs/>
        </w:rPr>
        <w:t xml:space="preserve"> </w:t>
      </w:r>
      <w:r>
        <w:rPr>
          <w:b/>
          <w:bCs/>
        </w:rPr>
        <w:t xml:space="preserve">“Strangler Fig”</w:t>
      </w:r>
    </w:p>
    <w:p>
      <w:pPr>
        <w:pStyle w:val="Compact"/>
        <w:numPr>
          <w:ilvl w:val="1"/>
          <w:numId w:val="1018"/>
        </w:numPr>
      </w:pPr>
      <w:r>
        <w:t xml:space="preserve">Encapsular gradualmente funcionalidades do monolito em serviços modernos</w:t>
      </w:r>
    </w:p>
    <w:p>
      <w:pPr>
        <w:pStyle w:val="Compact"/>
        <w:numPr>
          <w:ilvl w:val="1"/>
          <w:numId w:val="1018"/>
        </w:numPr>
      </w:pPr>
      <w:r>
        <w:t xml:space="preserve">Manter o núcleo transacional em Jakarta EE enquanto se expõe APIs modernas</w:t>
      </w:r>
    </w:p>
    <w:p>
      <w:pPr>
        <w:pStyle w:val="Compact"/>
        <w:numPr>
          <w:ilvl w:val="0"/>
          <w:numId w:val="1017"/>
        </w:numPr>
      </w:pPr>
      <w:r>
        <w:rPr>
          <w:b/>
          <w:bCs/>
        </w:rPr>
        <w:t xml:space="preserve">Adoção de MicroProfile</w:t>
      </w:r>
    </w:p>
    <w:p>
      <w:pPr>
        <w:pStyle w:val="Compact"/>
        <w:numPr>
          <w:ilvl w:val="1"/>
          <w:numId w:val="1019"/>
        </w:numPr>
      </w:pPr>
      <w:r>
        <w:t xml:space="preserve">Complementar Jakarta EE com extensões MicroProfile para microserviços</w:t>
      </w:r>
    </w:p>
    <w:p>
      <w:pPr>
        <w:pStyle w:val="Compact"/>
        <w:numPr>
          <w:ilvl w:val="1"/>
          <w:numId w:val="1019"/>
        </w:numPr>
      </w:pPr>
      <w:r>
        <w:t xml:space="preserve">Utilizar implementações como Quarkus ou Helidon para melhor performance em nuvem</w:t>
      </w:r>
    </w:p>
    <w:p>
      <w:pPr>
        <w:pStyle w:val="Compact"/>
        <w:numPr>
          <w:ilvl w:val="0"/>
          <w:numId w:val="1017"/>
        </w:numPr>
      </w:pPr>
      <w:r>
        <w:rPr>
          <w:b/>
          <w:bCs/>
        </w:rPr>
        <w:t xml:space="preserve">Modernização In-Place</w:t>
      </w:r>
    </w:p>
    <w:p>
      <w:pPr>
        <w:pStyle w:val="Compact"/>
        <w:numPr>
          <w:ilvl w:val="1"/>
          <w:numId w:val="1020"/>
        </w:numPr>
      </w:pPr>
      <w:r>
        <w:t xml:space="preserve">Migrar de EJBs pesados para CDI mais leve</w:t>
      </w:r>
    </w:p>
    <w:p>
      <w:pPr>
        <w:pStyle w:val="Compact"/>
        <w:numPr>
          <w:ilvl w:val="1"/>
          <w:numId w:val="1020"/>
        </w:numPr>
      </w:pPr>
      <w:r>
        <w:t xml:space="preserve">Adotar padrões modernos de design mantendo a infraestrutura Jakarta EE</w:t>
      </w:r>
    </w:p>
    <w:p>
      <w:pPr>
        <w:pStyle w:val="Compact"/>
        <w:numPr>
          <w:ilvl w:val="0"/>
          <w:numId w:val="1017"/>
        </w:numPr>
      </w:pPr>
      <w:r>
        <w:rPr>
          <w:b/>
          <w:bCs/>
        </w:rPr>
        <w:t xml:space="preserve">Containerização</w:t>
      </w:r>
    </w:p>
    <w:p>
      <w:pPr>
        <w:pStyle w:val="Compact"/>
        <w:numPr>
          <w:ilvl w:val="1"/>
          <w:numId w:val="1021"/>
        </w:numPr>
      </w:pPr>
      <w:r>
        <w:t xml:space="preserve">Empacotar aplicações Jakarta EE em contêineres</w:t>
      </w:r>
    </w:p>
    <w:p>
      <w:pPr>
        <w:pStyle w:val="Compact"/>
        <w:numPr>
          <w:ilvl w:val="1"/>
          <w:numId w:val="1021"/>
        </w:numPr>
      </w:pPr>
      <w:r>
        <w:t xml:space="preserve">Utilizar Kubernetes para gerenciamento de aplicações Jakarta EE</w:t>
      </w:r>
    </w:p>
    <w:p>
      <w:pPr>
        <w:pStyle w:val="SourceCode"/>
      </w:pPr>
      <w:r>
        <w:rPr>
          <w:rStyle w:val="CommentTok"/>
        </w:rPr>
        <w:t xml:space="preserve">// Exemplo de modernização com CDI e Configuration</w:t>
      </w:r>
      <w:r>
        <w:br/>
      </w:r>
      <w:r>
        <w:rPr>
          <w:rStyle w:val="AttributeTok"/>
        </w:rPr>
        <w:t xml:space="preserve">@ApplicationScoped</w:t>
      </w:r>
      <w:r>
        <w:br/>
      </w:r>
      <w:r>
        <w:rPr>
          <w:rStyle w:val="KeywordTok"/>
        </w:rPr>
        <w:t xml:space="preserve">public</w:t>
      </w:r>
      <w:r>
        <w:rPr>
          <w:rStyle w:val="NormalTok"/>
        </w:rPr>
        <w:t xml:space="preserve"> </w:t>
      </w:r>
      <w:r>
        <w:rPr>
          <w:rStyle w:val="KeywordTok"/>
        </w:rPr>
        <w:t xml:space="preserve">class</w:t>
      </w:r>
      <w:r>
        <w:rPr>
          <w:rStyle w:val="NormalTok"/>
        </w:rPr>
        <w:t xml:space="preserve"> ConfiguracoesModernasService </w:t>
      </w:r>
      <w:r>
        <w:rPr>
          <w:rStyle w:val="OperatorTok"/>
        </w:rPr>
        <w:t xml:space="preserve">{</w:t>
      </w:r>
      <w:r>
        <w:br/>
      </w:r>
      <w:r>
        <w:rPr>
          <w:rStyle w:val="NormalTok"/>
        </w:rPr>
        <w:t xml:space="preserve">    </w:t>
      </w:r>
      <w:r>
        <w:br/>
      </w:r>
      <w:r>
        <w:rPr>
          <w:rStyle w:val="NormalTok"/>
        </w:rPr>
        <w:t xml:space="preserve">    </w:t>
      </w:r>
      <w:r>
        <w:rPr>
          <w:rStyle w:val="AttributeTok"/>
        </w:rPr>
        <w:t xml:space="preserve">@Inject</w:t>
      </w:r>
      <w:r>
        <w:br/>
      </w:r>
      <w:r>
        <w:rPr>
          <w:rStyle w:val="NormalTok"/>
        </w:rPr>
        <w:t xml:space="preserve">    </w:t>
      </w:r>
      <w:r>
        <w:rPr>
          <w:rStyle w:val="AttributeTok"/>
        </w:rPr>
        <w:t xml:space="preserve">@ConfigProperty</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"service.timeout"</w:t>
      </w:r>
      <w:r>
        <w:rPr>
          <w:rStyle w:val="OperatorTok"/>
        </w:rPr>
        <w:t xml:space="preserve">,</w:t>
      </w:r>
      <w:r>
        <w:rPr>
          <w:rStyle w:val="NormalTok"/>
        </w:rPr>
        <w:t xml:space="preserve"> defaultValue </w:t>
      </w:r>
      <w:r>
        <w:rPr>
          <w:rStyle w:val="OperatorTok"/>
        </w:rPr>
        <w:t xml:space="preserve">=</w:t>
      </w:r>
      <w:r>
        <w:rPr>
          <w:rStyle w:val="NormalTok"/>
        </w:rPr>
        <w:t xml:space="preserve"> </w:t>
      </w:r>
      <w:r>
        <w:rPr>
          <w:rStyle w:val="StringTok"/>
        </w:rPr>
        <w:t xml:space="preserve">"30000"</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long</w:t>
      </w:r>
      <w:r>
        <w:rPr>
          <w:rStyle w:val="NormalTok"/>
        </w:rPr>
        <w:t xml:space="preserve"> timeout</w:t>
      </w:r>
      <w:r>
        <w:rPr>
          <w:rStyle w:val="OperatorTok"/>
        </w:rPr>
        <w:t xml:space="preserve">;</w:t>
      </w:r>
      <w:r>
        <w:br/>
      </w:r>
      <w:r>
        <w:rPr>
          <w:rStyle w:val="NormalTok"/>
        </w:rPr>
        <w:t xml:space="preserve">    </w:t>
      </w:r>
      <w:r>
        <w:br/>
      </w:r>
      <w:r>
        <w:rPr>
          <w:rStyle w:val="NormalTok"/>
        </w:rPr>
        <w:t xml:space="preserve">    </w:t>
      </w:r>
      <w:r>
        <w:rPr>
          <w:rStyle w:val="AttributeTok"/>
        </w:rPr>
        <w:t xml:space="preserve">@Inject</w:t>
      </w:r>
      <w:r>
        <w:br/>
      </w:r>
      <w:r>
        <w:rPr>
          <w:rStyle w:val="NormalTok"/>
        </w:rPr>
        <w:t xml:space="preserve">    </w:t>
      </w:r>
      <w:r>
        <w:rPr>
          <w:rStyle w:val="AttributeTok"/>
        </w:rPr>
        <w:t xml:space="preserve">@ConfigProperty</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"feature.nova-precificacao.ativa"</w:t>
      </w:r>
      <w:r>
        <w:rPr>
          <w:rStyle w:val="OperatorTok"/>
        </w:rPr>
        <w:t xml:space="preserve">,</w:t>
      </w:r>
      <w:r>
        <w:rPr>
          <w:rStyle w:val="NormalTok"/>
        </w:rPr>
        <w:t xml:space="preserve"> defaultValue </w:t>
      </w:r>
      <w:r>
        <w:rPr>
          <w:rStyle w:val="OperatorTok"/>
        </w:rPr>
        <w:t xml:space="preserve">=</w:t>
      </w:r>
      <w:r>
        <w:rPr>
          <w:rStyle w:val="NormalTok"/>
        </w:rPr>
        <w:t xml:space="preserve"> </w:t>
      </w:r>
      <w:r>
        <w:rPr>
          <w:rStyle w:val="StringTok"/>
        </w:rPr>
        <w:t xml:space="preserve">"false"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novaPrecificacaoAtiva</w:t>
      </w:r>
      <w:r>
        <w:rPr>
          <w:rStyle w:val="OperatorTok"/>
        </w:rPr>
        <w:t xml:space="preserve">;</w:t>
      </w:r>
      <w:r>
        <w:br/>
      </w:r>
      <w:r>
        <w:rPr>
          <w:rStyle w:val="NormalTok"/>
        </w:rPr>
        <w:t xml:space="preserve">    </w:t>
      </w:r>
      <w:r>
        <w:br/>
      </w:r>
      <w:r>
        <w:rPr>
          <w:rStyle w:val="NormalTok"/>
        </w:rPr>
        <w:t xml:space="preserve">    </w:t>
      </w:r>
      <w:r>
        <w:rPr>
          <w:rStyle w:val="AttributeTok"/>
        </w:rPr>
        <w:t xml:space="preserve">@Inject</w:t>
      </w:r>
      <w:r>
        <w:br/>
      </w:r>
      <w:r>
        <w:rPr>
          <w:rStyle w:val="NormalTok"/>
        </w:rPr>
        <w:t xml:space="preserve">    </w:t>
      </w:r>
      <w:r>
        <w:rPr>
          <w:rStyle w:val="KeywordTok"/>
        </w:rPr>
        <w:t xml:space="preserve">private</w:t>
      </w:r>
      <w:r>
        <w:rPr>
          <w:rStyle w:val="NormalTok"/>
        </w:rPr>
        <w:t xml:space="preserve"> </w:t>
      </w:r>
      <w:r>
        <w:rPr>
          <w:rStyle w:val="BuiltInTok"/>
        </w:rPr>
        <w:t xml:space="preserve">Logger</w:t>
      </w:r>
      <w:r>
        <w:rPr>
          <w:rStyle w:val="NormalTok"/>
        </w:rPr>
        <w:t xml:space="preserve"> logger</w:t>
      </w:r>
      <w:r>
        <w:rPr>
          <w:rStyle w:val="OperatorTok"/>
        </w:rPr>
        <w:t xml:space="preserve">;</w:t>
      </w:r>
      <w:r>
        <w:br/>
      </w:r>
      <w:r>
        <w:rPr>
          <w:rStyle w:val="NormalTok"/>
        </w:rPr>
        <w:t xml:space="preserve">    </w:t>
      </w:r>
      <w:r>
        <w:br/>
      </w:r>
      <w:r>
        <w:rPr>
          <w:rStyle w:val="NormalTok"/>
        </w:rPr>
        <w:t xml:space="preserve">    </w:t>
      </w:r>
      <w:r>
        <w:rPr>
          <w:rStyle w:val="AttributeTok"/>
        </w:rPr>
        <w:t xml:space="preserve">@Inject</w:t>
      </w:r>
      <w:r>
        <w:br/>
      </w:r>
      <w:r>
        <w:rPr>
          <w:rStyle w:val="NormalTok"/>
        </w:rPr>
        <w:t xml:space="preserve">    </w:t>
      </w:r>
      <w:r>
        <w:rPr>
          <w:rStyle w:val="KeywordTok"/>
        </w:rPr>
        <w:t xml:space="preserve">private</w:t>
      </w:r>
      <w:r>
        <w:rPr>
          <w:rStyle w:val="NormalTok"/>
        </w:rPr>
        <w:t xml:space="preserve"> MetricsRegistry metrics</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Preco </w:t>
      </w:r>
      <w:r>
        <w:rPr>
          <w:rStyle w:val="FunctionTok"/>
        </w:rPr>
        <w:t xml:space="preserve">calcularPreco</w:t>
      </w:r>
      <w:r>
        <w:rPr>
          <w:rStyle w:val="OperatorTok"/>
        </w:rPr>
        <w:t xml:space="preserve">(</w:t>
      </w:r>
      <w:r>
        <w:rPr>
          <w:rStyle w:val="NormalTok"/>
        </w:rPr>
        <w:t xml:space="preserve">Produto produto</w:t>
      </w:r>
      <w:r>
        <w:rPr>
          <w:rStyle w:val="OperatorTok"/>
        </w:rPr>
        <w:t xml:space="preserve">,</w:t>
      </w:r>
      <w:r>
        <w:rPr>
          <w:rStyle w:val="NormalTok"/>
        </w:rPr>
        <w:t xml:space="preserve"> Cliente cliente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Timer</w:t>
      </w:r>
      <w:r>
        <w:rPr>
          <w:rStyle w:val="OperatorTok"/>
        </w:rPr>
        <w:t xml:space="preserve">.</w:t>
      </w:r>
      <w:r>
        <w:rPr>
          <w:rStyle w:val="FunctionTok"/>
        </w:rPr>
        <w:t xml:space="preserve">Context</w:t>
      </w:r>
      <w:r>
        <w:rPr>
          <w:rStyle w:val="NormalTok"/>
        </w:rPr>
        <w:t xml:space="preserve"> timerContext </w:t>
      </w:r>
      <w:r>
        <w:rPr>
          <w:rStyle w:val="OperatorTok"/>
        </w:rPr>
        <w:t xml:space="preserve">=</w:t>
      </w:r>
      <w:r>
        <w:rPr>
          <w:rStyle w:val="NormalTok"/>
        </w:rPr>
        <w:t xml:space="preserve"> metrics</w:t>
      </w:r>
      <w:r>
        <w:rPr>
          <w:rStyle w:val="OperatorTok"/>
        </w:rPr>
        <w:t xml:space="preserve">.</w:t>
      </w:r>
      <w:r>
        <w:rPr>
          <w:rStyle w:val="FunctionTok"/>
        </w:rPr>
        <w:t xml:space="preserve">timer</w:t>
      </w:r>
      <w:r>
        <w:rPr>
          <w:rStyle w:val="OperatorTok"/>
        </w:rPr>
        <w:t xml:space="preserve">(</w:t>
      </w:r>
      <w:r>
        <w:rPr>
          <w:rStyle w:val="StringTok"/>
        </w:rPr>
        <w:t xml:space="preserve">"calcular-preco"</w:t>
      </w:r>
      <w:r>
        <w:rPr>
          <w:rStyle w:val="OperatorTok"/>
        </w:rPr>
        <w:t xml:space="preserve">).</w:t>
      </w:r>
      <w:r>
        <w:rPr>
          <w:rStyle w:val="FunctionTok"/>
        </w:rPr>
        <w:t xml:space="preserve">time</w:t>
      </w:r>
      <w:r>
        <w:rPr>
          <w:rStyle w:val="Operator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novaPrecificacaoAtiva</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"Usando novo algoritmo de precificação para {}"</w:t>
      </w:r>
      <w:r>
        <w:rPr>
          <w:rStyle w:val="OperatorTok"/>
        </w:rPr>
        <w:t xml:space="preserve">,</w:t>
      </w:r>
      <w:r>
        <w:rPr>
          <w:rStyle w:val="NormalTok"/>
        </w:rPr>
        <w:t xml:space="preserve"> produto</w:t>
      </w:r>
      <w:r>
        <w:rPr>
          <w:rStyle w:val="OperatorTok"/>
        </w:rPr>
        <w:t xml:space="preserve">.</w:t>
      </w:r>
      <w:r>
        <w:rPr>
          <w:rStyle w:val="FunctionTok"/>
        </w:rPr>
        <w:t xml:space="preserve">getSku</w:t>
      </w:r>
      <w:r>
        <w:rPr>
          <w:rStyle w:val="OperatorTok"/>
        </w:rPr>
        <w:t xml:space="preserve">());</w:t>
      </w:r>
      <w:r>
        <w:br/>
      </w:r>
      <w:r>
        <w:rPr>
          <w:rStyle w:val="NormalTok"/>
        </w:rPr>
        <w:t xml:space="preserve">                </w:t>
      </w:r>
      <w:r>
        <w:rPr>
          <w:rStyle w:val="ControlFlowTok"/>
        </w:rPr>
        <w:t xml:space="preserve">return</w:t>
      </w:r>
      <w:r>
        <w:rPr>
          <w:rStyle w:val="NormalTok"/>
        </w:rPr>
        <w:t xml:space="preserve"> algoritmoNovoPrecificacao</w:t>
      </w:r>
      <w:r>
        <w:rPr>
          <w:rStyle w:val="OperatorTok"/>
        </w:rPr>
        <w:t xml:space="preserve">.</w:t>
      </w:r>
      <w:r>
        <w:rPr>
          <w:rStyle w:val="FunctionTok"/>
        </w:rPr>
        <w:t xml:space="preserve">calcular</w:t>
      </w:r>
      <w:r>
        <w:rPr>
          <w:rStyle w:val="OperatorTok"/>
        </w:rPr>
        <w:t xml:space="preserve">(</w:t>
      </w:r>
      <w:r>
        <w:rPr>
          <w:rStyle w:val="NormalTok"/>
        </w:rPr>
        <w:t xml:space="preserve">produto</w:t>
      </w:r>
      <w:r>
        <w:rPr>
          <w:rStyle w:val="OperatorTok"/>
        </w:rPr>
        <w:t xml:space="preserve">,</w:t>
      </w:r>
      <w:r>
        <w:rPr>
          <w:rStyle w:val="NormalTok"/>
        </w:rPr>
        <w:t xml:space="preserve"> cliente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algoritmoLegadoPrecificacao</w:t>
      </w:r>
      <w:r>
        <w:rPr>
          <w:rStyle w:val="OperatorTok"/>
        </w:rPr>
        <w:t xml:space="preserve">.</w:t>
      </w:r>
      <w:r>
        <w:rPr>
          <w:rStyle w:val="FunctionTok"/>
        </w:rPr>
        <w:t xml:space="preserve">calcular</w:t>
      </w:r>
      <w:r>
        <w:rPr>
          <w:rStyle w:val="OperatorTok"/>
        </w:rPr>
        <w:t xml:space="preserve">(</w:t>
      </w:r>
      <w:r>
        <w:rPr>
          <w:rStyle w:val="NormalTok"/>
        </w:rPr>
        <w:t xml:space="preserve">produto</w:t>
      </w:r>
      <w:r>
        <w:rPr>
          <w:rStyle w:val="OperatorTok"/>
        </w:rPr>
        <w:t xml:space="preserve">,</w:t>
      </w:r>
      <w:r>
        <w:rPr>
          <w:rStyle w:val="NormalTok"/>
        </w:rPr>
        <w:t xml:space="preserve"> cliente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timerContext</w:t>
      </w:r>
      <w:r>
        <w:rPr>
          <w:rStyle w:val="OperatorTok"/>
        </w:rPr>
        <w:t xml:space="preserve">.</w:t>
      </w:r>
      <w:r>
        <w:rPr>
          <w:rStyle w:val="FunctionTok"/>
        </w:rPr>
        <w:t xml:space="preserve">stop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8"/>
    <w:bookmarkEnd w:id="29"/>
    <w:bookmarkStart w:id="32" w:name="o-futuro-jakarta-ee-e-a-nuvem"/>
    <w:p>
      <w:pPr>
        <w:pStyle w:val="Heading2"/>
      </w:pPr>
      <w:r>
        <w:t xml:space="preserve">O Futuro: Jakarta EE e a Nuvem</w:t>
      </w:r>
    </w:p>
    <w:p>
      <w:pPr>
        <w:pStyle w:val="FirstParagraph"/>
      </w:pPr>
      <w:r>
        <w:t xml:space="preserve">O futuro do Jakarta EE está sendo moldado por sua adaptação à computação em nuvem:</w:t>
      </w:r>
    </w:p>
    <w:bookmarkStart w:id="30" w:name="jakarta-ee-cloud-native"/>
    <w:p>
      <w:pPr>
        <w:pStyle w:val="Heading3"/>
      </w:pPr>
      <w:r>
        <w:t xml:space="preserve">Jakarta EE Cloud Native</w:t>
      </w:r>
    </w:p>
    <w:p>
      <w:pPr>
        <w:pStyle w:val="FirstParagraph"/>
      </w:pPr>
      <w:r>
        <w:t xml:space="preserve">A comunidade Jakarta EE está focada em tornar a plataforma mais adequada para ambientes de nuvem:</w:t>
      </w:r>
    </w:p>
    <w:p>
      <w:pPr>
        <w:pStyle w:val="Compact"/>
        <w:numPr>
          <w:ilvl w:val="0"/>
          <w:numId w:val="1022"/>
        </w:numPr>
      </w:pPr>
      <w:r>
        <w:rPr>
          <w:b/>
          <w:bCs/>
        </w:rPr>
        <w:t xml:space="preserve">Otimizações de Performance</w:t>
      </w:r>
      <w:r>
        <w:t xml:space="preserve">: Redução de footprint de memória e tempo de startup</w:t>
      </w:r>
    </w:p>
    <w:p>
      <w:pPr>
        <w:pStyle w:val="Compact"/>
        <w:numPr>
          <w:ilvl w:val="0"/>
          <w:numId w:val="1022"/>
        </w:numPr>
      </w:pPr>
      <w:r>
        <w:rPr>
          <w:b/>
          <w:bCs/>
        </w:rPr>
        <w:t xml:space="preserve">Modelo Reativo</w:t>
      </w:r>
      <w:r>
        <w:t xml:space="preserve">: Suporte a programação reativa para melhor escalabilidade</w:t>
      </w:r>
    </w:p>
    <w:p>
      <w:pPr>
        <w:pStyle w:val="Compact"/>
        <w:numPr>
          <w:ilvl w:val="0"/>
          <w:numId w:val="1022"/>
        </w:numPr>
      </w:pPr>
      <w:r>
        <w:rPr>
          <w:b/>
          <w:bCs/>
        </w:rPr>
        <w:t xml:space="preserve">Configuração Externalizada</w:t>
      </w:r>
      <w:r>
        <w:t xml:space="preserve">: Configuração dinâmica baseada em ambiente</w:t>
      </w:r>
    </w:p>
    <w:p>
      <w:pPr>
        <w:pStyle w:val="Compact"/>
        <w:numPr>
          <w:ilvl w:val="0"/>
          <w:numId w:val="1022"/>
        </w:numPr>
      </w:pPr>
      <w:r>
        <w:rPr>
          <w:b/>
          <w:bCs/>
        </w:rPr>
        <w:t xml:space="preserve">Observabilidade</w:t>
      </w:r>
      <w:r>
        <w:t xml:space="preserve">: Melhores ferramentas para monitoramento e diagnóstico</w:t>
      </w:r>
    </w:p>
    <w:bookmarkEnd w:id="30"/>
    <w:bookmarkStart w:id="31" w:name="integrações-com-ecossistemas-modernos"/>
    <w:p>
      <w:pPr>
        <w:pStyle w:val="Heading3"/>
      </w:pPr>
      <w:r>
        <w:t xml:space="preserve">Integrações com Ecossistemas Modernos</w:t>
      </w:r>
    </w:p>
    <w:p>
      <w:pPr>
        <w:pStyle w:val="FirstParagraph"/>
      </w:pPr>
      <w:r>
        <w:t xml:space="preserve">Jakarta EE está evoluindo para integrar-se melhor com:</w:t>
      </w:r>
    </w:p>
    <w:p>
      <w:pPr>
        <w:pStyle w:val="Compact"/>
        <w:numPr>
          <w:ilvl w:val="0"/>
          <w:numId w:val="1023"/>
        </w:numPr>
      </w:pPr>
      <w:r>
        <w:rPr>
          <w:b/>
          <w:bCs/>
        </w:rPr>
        <w:t xml:space="preserve">Kubernetes e Operadores</w:t>
      </w:r>
      <w:r>
        <w:t xml:space="preserve">: Facilidade de deployment em orquestradores de contêineres</w:t>
      </w:r>
    </w:p>
    <w:p>
      <w:pPr>
        <w:pStyle w:val="Compact"/>
        <w:numPr>
          <w:ilvl w:val="0"/>
          <w:numId w:val="1023"/>
        </w:numPr>
      </w:pPr>
      <w:r>
        <w:rPr>
          <w:b/>
          <w:bCs/>
        </w:rPr>
        <w:t xml:space="preserve">Serverless</w:t>
      </w:r>
      <w:r>
        <w:t xml:space="preserve">: Adaptações para modelos de computação sem servidor</w:t>
      </w:r>
    </w:p>
    <w:p>
      <w:pPr>
        <w:pStyle w:val="Compact"/>
        <w:numPr>
          <w:ilvl w:val="0"/>
          <w:numId w:val="1023"/>
        </w:numPr>
      </w:pPr>
      <w:r>
        <w:rPr>
          <w:b/>
          <w:bCs/>
        </w:rPr>
        <w:t xml:space="preserve">Arquiteturas Orientadas a Eventos</w:t>
      </w:r>
      <w:r>
        <w:t xml:space="preserve">: Melhor suporte para padrões de mensageria modernos</w:t>
      </w:r>
    </w:p>
    <w:p>
      <w:pPr>
        <w:pStyle w:val="Compact"/>
        <w:numPr>
          <w:ilvl w:val="0"/>
          <w:numId w:val="1023"/>
        </w:numPr>
      </w:pPr>
      <w:r>
        <w:rPr>
          <w:b/>
          <w:bCs/>
        </w:rPr>
        <w:t xml:space="preserve">DevOps e CI/CD</w:t>
      </w:r>
      <w:r>
        <w:t xml:space="preserve">: Ferramentas para facilitar pipelines modernos de entrega</w:t>
      </w:r>
    </w:p>
    <w:bookmarkEnd w:id="31"/>
    <w:bookmarkEnd w:id="32"/>
    <w:bookmarkStart w:id="33" w:name="conclusão"/>
    <w:p>
      <w:pPr>
        <w:pStyle w:val="Heading2"/>
      </w:pPr>
      <w:r>
        <w:t xml:space="preserve">Conclusão</w:t>
      </w:r>
    </w:p>
    <w:p>
      <w:pPr>
        <w:pStyle w:val="FirstParagraph"/>
      </w:pPr>
      <w:r>
        <w:t xml:space="preserve">Jakarta EE continua sendo uma tecnologia fundamental no desenvolvimento de software corporativo, especialmente nos setores bancário e de varejo, onde a combinação de robustez, segurança e suporte a transações complexas é essencial. Sua evolução de J2EE para Java EE e agora Jakarta EE demonstra uma notável capacidade de adaptação, mantendo-se relevante em um cenário tecnológico em constante mudança.</w:t>
      </w:r>
    </w:p>
    <w:p>
      <w:pPr>
        <w:pStyle w:val="BodyText"/>
      </w:pPr>
      <w:r>
        <w:t xml:space="preserve">As organizações que investiram pesadamente em JavaEE encontram em Jakarta EE um caminho claro para modernização gradual, permitindo que aproveitem seus investimentos existentes enquanto adotam paradigmas mais modernos. Para os desenvolvedores, compreender esta plataforma continua sendo uma habilidade valiosa, especialmente para aqueles que trabalham com sistemas críticos no setor financeiro e de varejo.</w:t>
      </w:r>
    </w:p>
    <w:p>
      <w:pPr>
        <w:pStyle w:val="BodyText"/>
      </w:pPr>
      <w:r>
        <w:t xml:space="preserve">A transição para a Eclipse Foundation e o novo nome Jakarta EE marcam não o fim, mas um renascimento desta plataforma empresarial, agora com uma governança mais aberta e um foco renovado em adaptação para os desafios da computação moderna.</w:t>
      </w:r>
    </w:p>
    <w:p>
      <w:r>
        <w:pict>
          <v:rect style="width:0;height:1.5pt" o:hralign="center" o:hrstd="t" o:hr="t"/>
        </w:pict>
      </w:r>
    </w:p>
    <w:p>
      <w:pPr>
        <w:pStyle w:val="FirstParagraph"/>
      </w:pPr>
      <w:r>
        <w:rPr>
          <w:i/>
          <w:iCs/>
        </w:rPr>
        <w:t xml:space="preserve">Tecnologias mencionadas: Jakarta EE, Java EE, J2EE, EJB, JPA, CDI, JAX-RS, JTA, WildFly, WebSphere, MicroProfile, Quarkus</w:t>
      </w:r>
    </w:p>
    <w:p>
      <w:pPr>
        <w:pStyle w:val="BodyText"/>
      </w:pPr>
      <w:r>
        <w:rPr>
          <w:i/>
          <w:iCs/>
        </w:rPr>
        <w:t xml:space="preserve">Tags: #JavaEE #JakartaEE #DesenvolvimentoBancário #SistemasDeVarejo #ArquiteturaDeSoftware</w:t>
      </w:r>
    </w:p>
    <w:bookmarkEnd w:id="33"/>
    <w:bookmarkEnd w:id="3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2025-09-08T20:48:15Z</dcterms:created>
  <dcterms:modified xsi:type="dcterms:W3CDTF">2025-09-08T20:48:15Z</dcterms:modified>
</cp:coreProperties>
</file>

<file path=docProps/custom.xml><?xml version="1.0" encoding="utf-8"?>
<Properties xmlns="http://schemas.openxmlformats.org/officeDocument/2006/custom-properties" xmlns:vt="http://schemas.openxmlformats.org/officeDocument/2006/docPropsVTypes"/>
</file>