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Xe4604be5b03d2a04fcfc2530259cb8aa70c06b2"/>
    <w:p>
      <w:pPr>
        <w:pStyle w:val="Heading1"/>
      </w:pPr>
      <w:r>
        <w:t xml:space="preserve">Hub Town: de uma segunda-feira caótica a uma arquitetura confiável</w:t>
      </w:r>
    </w:p>
    <w:p>
      <w:pPr>
        <w:pStyle w:val="FirstParagraph"/>
      </w:pPr>
      <w:r>
        <w:drawing>
          <wp:inline>
            <wp:extent cx="5334000" cy="2909454"/>
            <wp:effectExtent b="0" l="0" r="0" t="0"/>
            <wp:docPr descr="Arquitetura de ingestão e leitura do Hub Town" title="" id="10" name="Picture"/>
            <a:graphic>
              <a:graphicData uri="http://schemas.openxmlformats.org/drawingml/2006/picture">
                <pic:pic>
                  <pic:nvPicPr>
                    <pic:cNvPr descr="assets/img/2025_10_12_IMAGE_001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Figura — Arquitetura de ingestão (Spring Boot) + mensageria (RabbitMQ) + persistência (PostgreSQL) + leitura/Frontend.</w:t>
      </w:r>
    </w:p>
    <w:p>
      <w:pPr>
        <w:pStyle w:val="BodyText"/>
      </w:pPr>
      <w:r>
        <w:t xml:space="preserve">Quando o comércio local começa a vender em múltiplos marketplaces, a segunda-feira não perdoa: números que não batem, relatórios que chegam tarde, decisões que dependem de dados que mudam a cada F5. O Hub Town nasceu para transformar esse cenário em rotina previsível: ingestão resiliente, leitura consistente, KPIs confiáveis.</w:t>
      </w:r>
    </w:p>
    <w:p>
      <w:pPr>
        <w:pStyle w:val="BodyText"/>
      </w:pPr>
      <w:r>
        <w:t xml:space="preserve">Este artigo é um relato de descoberta: qual é o menor conjunto de decisões técnicas que nos dá escala, confiabilidade e clareza? E como aplicá-las, passo a passo, sem sacrificar o que já funciona no frontend?</w:t>
      </w:r>
    </w:p>
    <w:bookmarkStart w:id="12" w:name="a-ideia-que-mudou-o-jogo"/>
    <w:p>
      <w:pPr>
        <w:pStyle w:val="Heading2"/>
      </w:pPr>
      <w:r>
        <w:t xml:space="preserve">A ideia que mudou o jogo</w:t>
      </w:r>
    </w:p>
    <w:p>
      <w:pPr>
        <w:pStyle w:val="FirstParagraph"/>
      </w:pPr>
      <w:r>
        <w:t xml:space="preserve">Separar o que é caótico do que precisa ser previsível.</w:t>
      </w:r>
    </w:p>
    <w:p>
      <w:pPr>
        <w:pStyle w:val="Compact"/>
        <w:numPr>
          <w:ilvl w:val="0"/>
          <w:numId w:val="1001"/>
        </w:numPr>
      </w:pPr>
      <w:r>
        <w:t xml:space="preserve">Caótico: integrações com marketplaces (picos, falhas, formatos diferentes). Onde aceitamos variabilidade e erramos para frente com retry, DLQ e circuit breakers.</w:t>
      </w:r>
    </w:p>
    <w:p>
      <w:pPr>
        <w:pStyle w:val="Compact"/>
        <w:numPr>
          <w:ilvl w:val="0"/>
          <w:numId w:val="1001"/>
        </w:numPr>
      </w:pPr>
      <w:r>
        <w:t xml:space="preserve">Previsível: leitura para o frontend. Onde contratos são estáveis, consultas são rápidas e o dado é único e normalizado.</w:t>
      </w:r>
    </w:p>
    <w:p>
      <w:pPr>
        <w:pStyle w:val="FirstParagraph"/>
      </w:pPr>
      <w:r>
        <w:t xml:space="preserve">Daí emergiu nossa arquitetura em cinco blocos:</w:t>
      </w:r>
    </w:p>
    <w:p>
      <w:pPr>
        <w:pStyle w:val="Compact"/>
        <w:numPr>
          <w:ilvl w:val="0"/>
          <w:numId w:val="1002"/>
        </w:numPr>
      </w:pPr>
      <w:r>
        <w:t xml:space="preserve">Ingestão (Spring Boot) para falar com cada marketplace, agendar polling e receber webhooks, normalizando tudo para um formato canônico.</w:t>
      </w:r>
    </w:p>
    <w:p>
      <w:pPr>
        <w:pStyle w:val="Compact"/>
        <w:numPr>
          <w:ilvl w:val="0"/>
          <w:numId w:val="1002"/>
        </w:numPr>
      </w:pPr>
      <w:r>
        <w:t xml:space="preserve">Mensageria (RabbitMQ) para desacoplar ritmos: a ingestão publica eventos; consumidores processam no seu tempo, com retries e DLQ.</w:t>
      </w:r>
    </w:p>
    <w:p>
      <w:pPr>
        <w:pStyle w:val="Compact"/>
        <w:numPr>
          <w:ilvl w:val="0"/>
          <w:numId w:val="1002"/>
        </w:numPr>
      </w:pPr>
      <w:r>
        <w:t xml:space="preserve">Persistência (PostgreSQL) como fonte única de verdade, com idempotência por chave natural e histórico de status.</w:t>
      </w:r>
    </w:p>
    <w:p>
      <w:pPr>
        <w:pStyle w:val="Compact"/>
        <w:numPr>
          <w:ilvl w:val="0"/>
          <w:numId w:val="1002"/>
        </w:numPr>
      </w:pPr>
      <w:r>
        <w:t xml:space="preserve">API de Leitura que consulta exclusivamente o banco, oferecendo paginação, busca unificada e estatísticas.</w:t>
      </w:r>
    </w:p>
    <w:p>
      <w:pPr>
        <w:pStyle w:val="Compact"/>
        <w:numPr>
          <w:ilvl w:val="0"/>
          <w:numId w:val="1002"/>
        </w:numPr>
      </w:pPr>
      <w:r>
        <w:t xml:space="preserve">Frontend (React/Vite) que só conversa com a API interna, nunca com os marketplaces.</w:t>
      </w:r>
    </w:p>
    <w:bookmarkEnd w:id="12"/>
    <w:bookmarkStart w:id="14" w:name="a-jornada-de-um-pedido-do-clique-ao-kpi"/>
    <w:p>
      <w:pPr>
        <w:pStyle w:val="Heading2"/>
      </w:pPr>
      <w:r>
        <w:t xml:space="preserve">A jornada de um pedido (do clique ao KPI)</w:t>
      </w:r>
    </w:p>
    <w:p>
      <w:pPr>
        <w:pStyle w:val="Compact"/>
        <w:numPr>
          <w:ilvl w:val="0"/>
          <w:numId w:val="1003"/>
        </w:numPr>
      </w:pPr>
      <w:r>
        <w:t xml:space="preserve">O marketplace dispara um webhook (ou a ingestão busca via polling). O serviço Spring Boot valida, traduz e normaliza.</w:t>
      </w:r>
    </w:p>
    <w:p>
      <w:pPr>
        <w:pStyle w:val="Compact"/>
        <w:numPr>
          <w:ilvl w:val="0"/>
          <w:numId w:val="1003"/>
        </w:numPr>
      </w:pPr>
      <w:r>
        <w:t xml:space="preserve">Uma mensagem canônica é publicada no RabbitMQ. Se algo falha, entra em retry; se persistir, vai para a DLQ e fica visível.</w:t>
      </w:r>
    </w:p>
    <w:p>
      <w:pPr>
        <w:pStyle w:val="Compact"/>
        <w:numPr>
          <w:ilvl w:val="0"/>
          <w:numId w:val="1003"/>
        </w:numPr>
      </w:pPr>
      <w:r>
        <w:t xml:space="preserve">Um consumer Spring Boot lê a mensagem, aplica idempotência (marketplace + original_order_id) e faz UPSERT no PostgreSQL.</w:t>
      </w:r>
    </w:p>
    <w:p>
      <w:pPr>
        <w:pStyle w:val="Compact"/>
        <w:numPr>
          <w:ilvl w:val="0"/>
          <w:numId w:val="1003"/>
        </w:numPr>
      </w:pPr>
      <w:r>
        <w:t xml:space="preserve">A API de Leitura consulta o banco com filtros e paginação padronizados. Nada de surpresas; só dados consistentes.</w:t>
      </w:r>
    </w:p>
    <w:p>
      <w:pPr>
        <w:pStyle w:val="Compact"/>
        <w:numPr>
          <w:ilvl w:val="0"/>
          <w:numId w:val="1003"/>
        </w:numPr>
      </w:pPr>
      <w:r>
        <w:t xml:space="preserve">O frontend exibe abas por marketplace, busca unificada e KPIs — sempre com o mesmo contrato de resposta.</w:t>
      </w:r>
    </w:p>
    <w:bookmarkStart w:id="13" w:name="mapa-mental-versão-textual-hierárquica"/>
    <w:p>
      <w:pPr>
        <w:pStyle w:val="Heading3"/>
      </w:pPr>
      <w:r>
        <w:t xml:space="preserve">Mapa mental (versão textual, hierárquica)</w:t>
      </w:r>
    </w:p>
    <w:p>
      <w:pPr>
        <w:pStyle w:val="Compact"/>
        <w:numPr>
          <w:ilvl w:val="0"/>
          <w:numId w:val="1004"/>
        </w:numPr>
      </w:pPr>
      <w:r>
        <w:t xml:space="preserve">Hub Town</w:t>
      </w:r>
    </w:p>
    <w:p>
      <w:pPr>
        <w:pStyle w:val="Compact"/>
        <w:numPr>
          <w:ilvl w:val="1"/>
          <w:numId w:val="1005"/>
        </w:numPr>
      </w:pPr>
      <w:r>
        <w:t xml:space="preserve">Objetivo</w:t>
      </w:r>
    </w:p>
    <w:p>
      <w:pPr>
        <w:pStyle w:val="Compact"/>
        <w:numPr>
          <w:ilvl w:val="2"/>
          <w:numId w:val="1006"/>
        </w:numPr>
      </w:pPr>
      <w:r>
        <w:t xml:space="preserve">Leitura previsível e confiável para o frontend a partir de dados normalizados.</w:t>
      </w:r>
    </w:p>
    <w:p>
      <w:pPr>
        <w:pStyle w:val="Compact"/>
        <w:numPr>
          <w:ilvl w:val="1"/>
          <w:numId w:val="1005"/>
        </w:numPr>
      </w:pPr>
      <w:r>
        <w:t xml:space="preserve">Ingestão (Spring Boot)</w:t>
      </w:r>
    </w:p>
    <w:p>
      <w:pPr>
        <w:pStyle w:val="Compact"/>
        <w:numPr>
          <w:ilvl w:val="2"/>
          <w:numId w:val="1007"/>
        </w:numPr>
      </w:pPr>
      <w:r>
        <w:t xml:space="preserve">Responsabilidades: adapters por marketplace, polling/webhooks, normalização.</w:t>
      </w:r>
    </w:p>
    <w:p>
      <w:pPr>
        <w:pStyle w:val="Compact"/>
        <w:numPr>
          <w:ilvl w:val="2"/>
          <w:numId w:val="1007"/>
        </w:numPr>
      </w:pPr>
      <w:r>
        <w:t xml:space="preserve">Decisões: schema canônico, publisher confirms, resiliência (retry/backoff, circuit breaker, timeouts).</w:t>
      </w:r>
    </w:p>
    <w:p>
      <w:pPr>
        <w:pStyle w:val="Compact"/>
        <w:numPr>
          <w:ilvl w:val="2"/>
          <w:numId w:val="1007"/>
        </w:numPr>
      </w:pPr>
      <w:r>
        <w:t xml:space="preserve">Qualidade: idempotência no produtor quando aplicável; métricas de taxa de ingestão e latência.</w:t>
      </w:r>
    </w:p>
    <w:p>
      <w:pPr>
        <w:pStyle w:val="Compact"/>
        <w:numPr>
          <w:ilvl w:val="1"/>
          <w:numId w:val="1005"/>
        </w:numPr>
      </w:pPr>
      <w:r>
        <w:t xml:space="preserve">Mensageria (RabbitMQ)</w:t>
      </w:r>
    </w:p>
    <w:p>
      <w:pPr>
        <w:pStyle w:val="Compact"/>
        <w:numPr>
          <w:ilvl w:val="2"/>
          <w:numId w:val="1008"/>
        </w:numPr>
      </w:pPr>
      <w:r>
        <w:t xml:space="preserve">Exchange: topic</w:t>
      </w:r>
      <w:r>
        <w:t xml:space="preserve"> </w:t>
      </w:r>
      <w:r>
        <w:rPr>
          <w:rStyle w:val="VerbatimChar"/>
        </w:rPr>
        <w:t xml:space="preserve">hubtown.orders.exchange</w:t>
      </w:r>
      <w:r>
        <w:t xml:space="preserve">.</w:t>
      </w:r>
    </w:p>
    <w:p>
      <w:pPr>
        <w:pStyle w:val="Compact"/>
        <w:numPr>
          <w:ilvl w:val="2"/>
          <w:numId w:val="1008"/>
        </w:numPr>
      </w:pPr>
      <w:r>
        <w:t xml:space="preserve">Filas:</w:t>
      </w:r>
      <w:r>
        <w:t xml:space="preserve"> </w:t>
      </w:r>
      <w:r>
        <w:rPr>
          <w:rStyle w:val="VerbatimChar"/>
        </w:rPr>
        <w:t xml:space="preserve">*.process</w:t>
      </w:r>
      <w:r>
        <w:t xml:space="preserve"> </w:t>
      </w:r>
      <w:r>
        <w:t xml:space="preserve">por marketplace;</w:t>
      </w:r>
      <w:r>
        <w:t xml:space="preserve"> </w:t>
      </w:r>
      <w:r>
        <w:rPr>
          <w:rStyle w:val="VerbatimChar"/>
        </w:rPr>
        <w:t xml:space="preserve">*.dlq</w:t>
      </w:r>
      <w:r>
        <w:t xml:space="preserve"> </w:t>
      </w:r>
      <w:r>
        <w:t xml:space="preserve">por marketplace; filas de retry com TTL+DLX.</w:t>
      </w:r>
    </w:p>
    <w:p>
      <w:pPr>
        <w:pStyle w:val="Compact"/>
        <w:numPr>
          <w:ilvl w:val="2"/>
          <w:numId w:val="1008"/>
        </w:numPr>
      </w:pPr>
      <w:r>
        <w:t xml:space="preserve">QoS: ack manual, prefetch 10–20, concorrência 2–4 por fila; observabilidade de backlog e x-death.</w:t>
      </w:r>
    </w:p>
    <w:p>
      <w:pPr>
        <w:pStyle w:val="Compact"/>
        <w:numPr>
          <w:ilvl w:val="1"/>
          <w:numId w:val="1005"/>
        </w:numPr>
      </w:pPr>
      <w:r>
        <w:t xml:space="preserve">Persistência (PostgreSQL)</w:t>
      </w:r>
    </w:p>
    <w:p>
      <w:pPr>
        <w:pStyle w:val="Compact"/>
        <w:numPr>
          <w:ilvl w:val="2"/>
          <w:numId w:val="1009"/>
        </w:numPr>
      </w:pPr>
      <w:r>
        <w:t xml:space="preserve">Modelo: orders, buyers, addresses, order_status_history, marketplaces.</w:t>
      </w:r>
    </w:p>
    <w:p>
      <w:pPr>
        <w:pStyle w:val="Compact"/>
        <w:numPr>
          <w:ilvl w:val="2"/>
          <w:numId w:val="1009"/>
        </w:numPr>
      </w:pPr>
      <w:r>
        <w:t xml:space="preserve">Regras: idempotência por (marketplace + original_order_id); “última versão vence” por occurred_at/versão.</w:t>
      </w:r>
    </w:p>
    <w:p>
      <w:pPr>
        <w:pStyle w:val="Compact"/>
        <w:numPr>
          <w:ilvl w:val="2"/>
          <w:numId w:val="1009"/>
        </w:numPr>
      </w:pPr>
      <w:r>
        <w:t xml:space="preserve">Performance: índices para busca/paginação; UPSERT consistente.</w:t>
      </w:r>
    </w:p>
    <w:p>
      <w:pPr>
        <w:pStyle w:val="Compact"/>
        <w:numPr>
          <w:ilvl w:val="1"/>
          <w:numId w:val="1005"/>
        </w:numPr>
      </w:pPr>
      <w:r>
        <w:t xml:space="preserve">API de Leitura</w:t>
      </w:r>
    </w:p>
    <w:p>
      <w:pPr>
        <w:pStyle w:val="Compact"/>
        <w:numPr>
          <w:ilvl w:val="2"/>
          <w:numId w:val="1010"/>
        </w:numPr>
      </w:pPr>
      <w:r>
        <w:t xml:space="preserve">Rotas: listagem por marketplace, busca unificada, estatísticas.</w:t>
      </w:r>
    </w:p>
    <w:p>
      <w:pPr>
        <w:pStyle w:val="Compact"/>
        <w:numPr>
          <w:ilvl w:val="2"/>
          <w:numId w:val="1010"/>
        </w:numPr>
      </w:pPr>
      <w:r>
        <w:t xml:space="preserve">Contratos: paginação (data, total, currentPage, totalPages) e filtros estáveis.</w:t>
      </w:r>
    </w:p>
    <w:p>
      <w:pPr>
        <w:pStyle w:val="Compact"/>
        <w:numPr>
          <w:ilvl w:val="2"/>
          <w:numId w:val="1010"/>
        </w:numPr>
      </w:pPr>
      <w:r>
        <w:t xml:space="preserve">Objetivo: respostas rápidas e previsíveis, sempre a partir do DB.</w:t>
      </w:r>
    </w:p>
    <w:p>
      <w:pPr>
        <w:pStyle w:val="Compact"/>
        <w:numPr>
          <w:ilvl w:val="1"/>
          <w:numId w:val="1005"/>
        </w:numPr>
      </w:pPr>
      <w:r>
        <w:t xml:space="preserve">Frontend (React/Vite)</w:t>
      </w:r>
    </w:p>
    <w:p>
      <w:pPr>
        <w:pStyle w:val="Compact"/>
        <w:numPr>
          <w:ilvl w:val="2"/>
          <w:numId w:val="1011"/>
        </w:numPr>
      </w:pPr>
      <w:r>
        <w:t xml:space="preserve">Consumo: apenas a API interna; base URL por variável de ambiente.</w:t>
      </w:r>
    </w:p>
    <w:p>
      <w:pPr>
        <w:pStyle w:val="Compact"/>
        <w:numPr>
          <w:ilvl w:val="2"/>
          <w:numId w:val="1011"/>
        </w:numPr>
      </w:pPr>
      <w:r>
        <w:t xml:space="preserve">UX: abas por marketplace, visão “Todos”, KPIs.</w:t>
      </w:r>
    </w:p>
    <w:p>
      <w:pPr>
        <w:pStyle w:val="Compact"/>
        <w:numPr>
          <w:ilvl w:val="1"/>
          <w:numId w:val="1005"/>
        </w:numPr>
      </w:pPr>
      <w:r>
        <w:t xml:space="preserve">Segurança e Configuração</w:t>
      </w:r>
    </w:p>
    <w:p>
      <w:pPr>
        <w:pStyle w:val="Compact"/>
        <w:numPr>
          <w:ilvl w:val="2"/>
          <w:numId w:val="1012"/>
        </w:numPr>
      </w:pPr>
      <w:r>
        <w:t xml:space="preserve">Segredos fora do código; CORS/headers; auditoria quando aplicável.</w:t>
      </w:r>
    </w:p>
    <w:p>
      <w:pPr>
        <w:pStyle w:val="Compact"/>
        <w:numPr>
          <w:ilvl w:val="1"/>
          <w:numId w:val="1005"/>
        </w:numPr>
      </w:pPr>
      <w:r>
        <w:t xml:space="preserve">Observabilidade</w:t>
      </w:r>
    </w:p>
    <w:p>
      <w:pPr>
        <w:pStyle w:val="Compact"/>
        <w:numPr>
          <w:ilvl w:val="2"/>
          <w:numId w:val="1013"/>
        </w:numPr>
      </w:pPr>
      <w:r>
        <w:t xml:space="preserve">Logs estruturados com traceId/correlationId; métricas e dashboards por domínio.</w:t>
      </w:r>
    </w:p>
    <w:p>
      <w:pPr>
        <w:pStyle w:val="Compact"/>
        <w:numPr>
          <w:ilvl w:val="1"/>
          <w:numId w:val="1005"/>
        </w:numPr>
      </w:pPr>
      <w:r>
        <w:t xml:space="preserve">Operação</w:t>
      </w:r>
    </w:p>
    <w:p>
      <w:pPr>
        <w:pStyle w:val="Compact"/>
        <w:numPr>
          <w:ilvl w:val="2"/>
          <w:numId w:val="1014"/>
        </w:numPr>
      </w:pPr>
      <w:r>
        <w:t xml:space="preserve">Backups do DB, retenção de mensagens, DLQ visível, reprocessamento controlado e playbooks.</w:t>
      </w:r>
    </w:p>
    <w:bookmarkEnd w:id="13"/>
    <w:bookmarkEnd w:id="14"/>
    <w:bookmarkStart w:id="15" w:name="decisões-que-protegem-a-experiência"/>
    <w:p>
      <w:pPr>
        <w:pStyle w:val="Heading2"/>
      </w:pPr>
      <w:r>
        <w:t xml:space="preserve">Decisões que protegem a experiência</w:t>
      </w:r>
    </w:p>
    <w:p>
      <w:pPr>
        <w:pStyle w:val="Compact"/>
        <w:numPr>
          <w:ilvl w:val="0"/>
          <w:numId w:val="1015"/>
        </w:numPr>
      </w:pPr>
      <w:r>
        <w:t xml:space="preserve">Idempotência por chave natural (marketplace + original_order_id): repetiu, não duplica.</w:t>
      </w:r>
    </w:p>
    <w:p>
      <w:pPr>
        <w:pStyle w:val="Compact"/>
        <w:numPr>
          <w:ilvl w:val="0"/>
          <w:numId w:val="1015"/>
        </w:numPr>
      </w:pPr>
      <w:r>
        <w:t xml:space="preserve">Normalização de status, buyer e address: um vocabulário comum, relatórios coerentes.</w:t>
      </w:r>
    </w:p>
    <w:p>
      <w:pPr>
        <w:pStyle w:val="Compact"/>
        <w:numPr>
          <w:ilvl w:val="0"/>
          <w:numId w:val="1015"/>
        </w:numPr>
      </w:pPr>
      <w:r>
        <w:t xml:space="preserve">DLQ e retry com política clara: erros ficam visíveis e reprocessáveis, não invisíveis.</w:t>
      </w:r>
    </w:p>
    <w:p>
      <w:pPr>
        <w:pStyle w:val="Compact"/>
        <w:numPr>
          <w:ilvl w:val="0"/>
          <w:numId w:val="1015"/>
        </w:numPr>
      </w:pPr>
      <w:r>
        <w:t xml:space="preserve">Observabilidade por domínio: do webhook à query, tudo rastreável.</w:t>
      </w:r>
    </w:p>
    <w:p>
      <w:pPr>
        <w:pStyle w:val="Compact"/>
        <w:numPr>
          <w:ilvl w:val="0"/>
          <w:numId w:val="1015"/>
        </w:numPr>
      </w:pPr>
      <w:r>
        <w:t xml:space="preserve">Contratos de leitura estáveis: paginação e metadados previsíveis para o frontend.</w:t>
      </w:r>
    </w:p>
    <w:bookmarkEnd w:id="15"/>
    <w:bookmarkStart w:id="16" w:name="como-vamos-construir-fases-curtinhas"/>
    <w:p>
      <w:pPr>
        <w:pStyle w:val="Heading2"/>
      </w:pPr>
      <w:r>
        <w:t xml:space="preserve">Como vamos construir (fases curtinhas)</w:t>
      </w:r>
    </w:p>
    <w:p>
      <w:pPr>
        <w:pStyle w:val="Compact"/>
        <w:numPr>
          <w:ilvl w:val="0"/>
          <w:numId w:val="1016"/>
        </w:numPr>
      </w:pPr>
      <w:r>
        <w:t xml:space="preserve">Fase 1 — API de leitura do DB: já entrega valor. Listagem por marketplace, busca unificada, estatísticas e contratos estáveis.</w:t>
      </w:r>
    </w:p>
    <w:p>
      <w:pPr>
        <w:pStyle w:val="Compact"/>
        <w:numPr>
          <w:ilvl w:val="0"/>
          <w:numId w:val="1016"/>
        </w:numPr>
      </w:pPr>
      <w:r>
        <w:t xml:space="preserve">Fase 2 — Ingestão e fila: primeiro marketplace (ex.: Shopee) com polling/webhook, publicação no RabbitMQ e consumer idempotente persistindo no PostgreSQL.</w:t>
      </w:r>
    </w:p>
    <w:p>
      <w:pPr>
        <w:pStyle w:val="Compact"/>
        <w:numPr>
          <w:ilvl w:val="0"/>
          <w:numId w:val="1016"/>
        </w:numPr>
      </w:pPr>
      <w:r>
        <w:t xml:space="preserve">Fase 3 — Escala e visibilidade: novos marketplaces (Mercado Livre, Shein), métricas por fila, DLQ e reprocessamento guiado.</w:t>
      </w:r>
    </w:p>
    <w:p>
      <w:pPr>
        <w:pStyle w:val="Compact"/>
        <w:numPr>
          <w:ilvl w:val="0"/>
          <w:numId w:val="1016"/>
        </w:numPr>
      </w:pPr>
      <w:r>
        <w:t xml:space="preserve">Fase 4 — Operação com confiança: segurança, gestão de segredos, backups, retenção e testes de carga.</w:t>
      </w:r>
    </w:p>
    <w:bookmarkEnd w:id="16"/>
    <w:bookmarkStart w:id="17" w:name="riscos-que-já-esperamos-e-como-domar"/>
    <w:p>
      <w:pPr>
        <w:pStyle w:val="Heading2"/>
      </w:pPr>
      <w:r>
        <w:t xml:space="preserve">Riscos que já esperamos (e como domar)</w:t>
      </w:r>
    </w:p>
    <w:p>
      <w:pPr>
        <w:pStyle w:val="Compact"/>
        <w:numPr>
          <w:ilvl w:val="0"/>
          <w:numId w:val="1017"/>
        </w:numPr>
      </w:pPr>
      <w:r>
        <w:t xml:space="preserve">Payloads diferentes por marketplace → normalização canônica.</w:t>
      </w:r>
    </w:p>
    <w:p>
      <w:pPr>
        <w:pStyle w:val="Compact"/>
        <w:numPr>
          <w:ilvl w:val="0"/>
          <w:numId w:val="1017"/>
        </w:numPr>
      </w:pPr>
      <w:r>
        <w:t xml:space="preserve">Rate limits e intermitência → retry/backoff e circuit breakers.</w:t>
      </w:r>
    </w:p>
    <w:p>
      <w:pPr>
        <w:pStyle w:val="Compact"/>
        <w:numPr>
          <w:ilvl w:val="0"/>
          <w:numId w:val="1017"/>
        </w:numPr>
      </w:pPr>
      <w:r>
        <w:t xml:space="preserve">Duplicidades → idempotência com chaves naturais.</w:t>
      </w:r>
    </w:p>
    <w:p>
      <w:pPr>
        <w:pStyle w:val="Compact"/>
        <w:numPr>
          <w:ilvl w:val="0"/>
          <w:numId w:val="1017"/>
        </w:numPr>
      </w:pPr>
      <w:r>
        <w:t xml:space="preserve">Filas crescendo → DLQ, monitoramento e reprocessamento controlado.</w:t>
      </w:r>
    </w:p>
    <w:bookmarkEnd w:id="17"/>
    <w:bookmarkStart w:id="18" w:name="próximos-passos-práticos"/>
    <w:p>
      <w:pPr>
        <w:pStyle w:val="Heading2"/>
      </w:pPr>
      <w:r>
        <w:t xml:space="preserve">Próximos passos práticos</w:t>
      </w:r>
    </w:p>
    <w:p>
      <w:pPr>
        <w:pStyle w:val="Compact"/>
        <w:numPr>
          <w:ilvl w:val="0"/>
          <w:numId w:val="1018"/>
        </w:numPr>
      </w:pPr>
      <w:r>
        <w:t xml:space="preserve">Congelar os contratos da API de leitura e alinhar o frontend.</w:t>
      </w:r>
    </w:p>
    <w:p>
      <w:pPr>
        <w:pStyle w:val="Compact"/>
        <w:numPr>
          <w:ilvl w:val="0"/>
          <w:numId w:val="1018"/>
        </w:numPr>
      </w:pPr>
      <w:r>
        <w:t xml:space="preserve">Subir um marketplace ponta a ponta (ingestão → MQ → consumer → DB → leitura).</w:t>
      </w:r>
    </w:p>
    <w:p>
      <w:pPr>
        <w:pStyle w:val="Compact"/>
        <w:numPr>
          <w:ilvl w:val="0"/>
          <w:numId w:val="1018"/>
        </w:numPr>
      </w:pPr>
      <w:r>
        <w:t xml:space="preserve">Habilitar métricas e dashboards mínimos (filas, DLQ, latências de consulta).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Se quiser mergulhar nos detalhes, os documentos de apoio trazem a vista completa sem código:</w:t>
      </w:r>
      <w:r>
        <w:t xml:space="preserve"> </w:t>
      </w:r>
      <w:r>
        <w:rPr>
          <w:rStyle w:val="VerbatimChar"/>
        </w:rPr>
        <w:t xml:space="preserve">doc/ARQUITETURA.md</w:t>
      </w:r>
      <w:r>
        <w:t xml:space="preserve"> </w:t>
      </w:r>
      <w:r>
        <w:t xml:space="preserve">(topologia e sequências) e</w:t>
      </w:r>
      <w:r>
        <w:t xml:space="preserve"> </w:t>
      </w:r>
      <w:r>
        <w:rPr>
          <w:rStyle w:val="VerbatimChar"/>
        </w:rPr>
        <w:t xml:space="preserve">doc/DESENVOLVIMENTO.md</w:t>
      </w:r>
      <w:r>
        <w:t xml:space="preserve"> </w:t>
      </w:r>
      <w:r>
        <w:t xml:space="preserve">(diretrizes de time). A história acima é o fio condutor: manter a leitura previsível, domesticar a ingestão e deixar a cidade vender em paz.</w:t>
      </w:r>
    </w:p>
    <w:bookmarkEnd w:id="18"/>
    <w:bookmarkStart w:id="21" w:name="recursos-e-referências"/>
    <w:p>
      <w:pPr>
        <w:pStyle w:val="Heading2"/>
      </w:pPr>
      <w:r>
        <w:t xml:space="preserve">Recursos e referências</w:t>
      </w:r>
    </w:p>
    <w:p>
      <w:pPr>
        <w:pStyle w:val="Compact"/>
        <w:numPr>
          <w:ilvl w:val="0"/>
          <w:numId w:val="1019"/>
        </w:numPr>
      </w:pPr>
      <w:r>
        <w:t xml:space="preserve">Repositório (código-fonte):</w:t>
      </w:r>
      <w:r>
        <w:t xml:space="preserve"> </w:t>
      </w:r>
      <w:hyperlink r:id="rId19">
        <w:r>
          <w:rPr>
            <w:rStyle w:val="Hyperlink"/>
          </w:rPr>
          <w:t xml:space="preserve">https://github.com/chmulato/hub_town</w:t>
        </w:r>
      </w:hyperlink>
    </w:p>
    <w:p>
      <w:pPr>
        <w:pStyle w:val="Compact"/>
        <w:numPr>
          <w:ilvl w:val="0"/>
          <w:numId w:val="1019"/>
        </w:numPr>
      </w:pPr>
      <w:r>
        <w:t xml:space="preserve">Artigo 1 (contexto e visão inicial):</w:t>
      </w:r>
      <w:r>
        <w:t xml:space="preserve"> </w:t>
      </w:r>
      <w:hyperlink r:id="rId20">
        <w:r>
          <w:rPr>
            <w:rStyle w:val="Hyperlink"/>
          </w:rPr>
          <w:t xml:space="preserve">https://www.caracore.com.br/personal/articles/2025_09_28_hub_local_de_integracao_para_pequenas_cidades.html</w:t>
        </w:r>
      </w:hyperlink>
    </w:p>
    <w:bookmarkEnd w:id="21"/>
    <w:bookmarkStart w:id="22" w:name="dicionário-técnico-para-executivos"/>
    <w:p>
      <w:pPr>
        <w:pStyle w:val="Heading2"/>
      </w:pPr>
      <w:r>
        <w:t xml:space="preserve">Dicionário técnico (para executivos)</w:t>
      </w:r>
    </w:p>
    <w:p>
      <w:pPr>
        <w:pStyle w:val="Compact"/>
        <w:numPr>
          <w:ilvl w:val="0"/>
          <w:numId w:val="1020"/>
        </w:numPr>
      </w:pPr>
      <w:r>
        <w:t xml:space="preserve">Spring Boot: plataforma Java para criar serviços rapidamente, com padrões de mercado já configurados.</w:t>
      </w:r>
    </w:p>
    <w:p>
      <w:pPr>
        <w:pStyle w:val="Compact"/>
        <w:numPr>
          <w:ilvl w:val="0"/>
          <w:numId w:val="1020"/>
        </w:numPr>
      </w:pPr>
      <w:r>
        <w:t xml:space="preserve">RabbitMQ: serviço de filas que desacopla partes do sistema e absorve picos de tráfego.</w:t>
      </w:r>
    </w:p>
    <w:p>
      <w:pPr>
        <w:pStyle w:val="Compact"/>
        <w:numPr>
          <w:ilvl w:val="0"/>
          <w:numId w:val="1020"/>
        </w:numPr>
      </w:pPr>
      <w:r>
        <w:t xml:space="preserve">Exchange (topic): componente que recebe mensagens e as distribui para filas conforme “rótulos” (routing keys).</w:t>
      </w:r>
    </w:p>
    <w:p>
      <w:pPr>
        <w:pStyle w:val="Compact"/>
        <w:numPr>
          <w:ilvl w:val="0"/>
          <w:numId w:val="1020"/>
        </w:numPr>
      </w:pPr>
      <w:r>
        <w:t xml:space="preserve">Routing key: rótulo da mensagem (ex.: orders.shopee.created) usado para decidir o destino.</w:t>
      </w:r>
    </w:p>
    <w:p>
      <w:pPr>
        <w:pStyle w:val="Compact"/>
        <w:numPr>
          <w:ilvl w:val="0"/>
          <w:numId w:val="1020"/>
        </w:numPr>
      </w:pPr>
      <w:r>
        <w:t xml:space="preserve">Fila (Queue): onde mensagens aguardam para serem processadas por consumidores.</w:t>
      </w:r>
    </w:p>
    <w:p>
      <w:pPr>
        <w:pStyle w:val="Compact"/>
        <w:numPr>
          <w:ilvl w:val="0"/>
          <w:numId w:val="1020"/>
        </w:numPr>
      </w:pPr>
      <w:r>
        <w:t xml:space="preserve">DLQ (Dead-Letter Queue): fila onde caem mensagens que falharam várias vezes; torna o erro visível e auditável.</w:t>
      </w:r>
    </w:p>
    <w:p>
      <w:pPr>
        <w:pStyle w:val="Compact"/>
        <w:numPr>
          <w:ilvl w:val="0"/>
          <w:numId w:val="1020"/>
        </w:numPr>
      </w:pPr>
      <w:r>
        <w:t xml:space="preserve">TTL + DLX (Retries): estratégia de “esperar e tentar de novo” usando tempo de vida (TTL) e redirecionamento automático (DLX).</w:t>
      </w:r>
    </w:p>
    <w:p>
      <w:pPr>
        <w:pStyle w:val="Compact"/>
        <w:numPr>
          <w:ilvl w:val="0"/>
          <w:numId w:val="1020"/>
        </w:numPr>
      </w:pPr>
      <w:r>
        <w:t xml:space="preserve">Idempotência: regra para não gravar duplicado quando a mesma informação chega mais de uma vez.</w:t>
      </w:r>
    </w:p>
    <w:p>
      <w:pPr>
        <w:pStyle w:val="Compact"/>
        <w:numPr>
          <w:ilvl w:val="0"/>
          <w:numId w:val="1020"/>
        </w:numPr>
      </w:pPr>
      <w:r>
        <w:t xml:space="preserve">UPSERT: operação que insere o registro se ele não existe, ou atualiza se já existe.</w:t>
      </w:r>
    </w:p>
    <w:p>
      <w:pPr>
        <w:pStyle w:val="Compact"/>
        <w:numPr>
          <w:ilvl w:val="0"/>
          <w:numId w:val="1020"/>
        </w:numPr>
      </w:pPr>
      <w:r>
        <w:t xml:space="preserve">Fonte única da verdade: banco central (PostgreSQL) do qual a leitura é sempre feita, garantindo consistência.</w:t>
      </w:r>
    </w:p>
    <w:p>
      <w:pPr>
        <w:pStyle w:val="Compact"/>
        <w:numPr>
          <w:ilvl w:val="0"/>
          <w:numId w:val="1020"/>
        </w:numPr>
      </w:pPr>
      <w:r>
        <w:t xml:space="preserve">API de Leitura: serviço que faz consultas ao banco e entrega dados prontos para o frontend.</w:t>
      </w:r>
    </w:p>
    <w:p>
      <w:pPr>
        <w:pStyle w:val="Compact"/>
        <w:numPr>
          <w:ilvl w:val="0"/>
          <w:numId w:val="1020"/>
        </w:numPr>
      </w:pPr>
      <w:r>
        <w:t xml:space="preserve">Paginação e metadados: respostas com total de itens e páginas, evitando cargas lentas e caras.</w:t>
      </w:r>
    </w:p>
    <w:p>
      <w:pPr>
        <w:pStyle w:val="Compact"/>
        <w:numPr>
          <w:ilvl w:val="0"/>
          <w:numId w:val="1020"/>
        </w:numPr>
      </w:pPr>
      <w:r>
        <w:t xml:space="preserve">Busca unificada: pesquisa que reúne pedidos de todos os marketplaces com um só contrato de resposta.</w:t>
      </w:r>
    </w:p>
    <w:p>
      <w:pPr>
        <w:pStyle w:val="Compact"/>
        <w:numPr>
          <w:ilvl w:val="0"/>
          <w:numId w:val="1020"/>
        </w:numPr>
      </w:pPr>
      <w:r>
        <w:t xml:space="preserve">KPI: indicador-chave (ex.: pedidos por status) usado para orientar decisões do dia a dia.</w:t>
      </w:r>
    </w:p>
    <w:p>
      <w:pPr>
        <w:pStyle w:val="Compact"/>
        <w:numPr>
          <w:ilvl w:val="0"/>
          <w:numId w:val="1020"/>
        </w:numPr>
      </w:pPr>
      <w:r>
        <w:t xml:space="preserve">Observabilidade (logs, métricas, tracing): visibilidade do que está acontecendo para agir rápido em incidentes.</w:t>
      </w:r>
    </w:p>
    <w:p>
      <w:pPr>
        <w:pStyle w:val="Compact"/>
        <w:numPr>
          <w:ilvl w:val="0"/>
          <w:numId w:val="1020"/>
        </w:numPr>
      </w:pPr>
      <w:r>
        <w:t xml:space="preserve">Prefetch e Ack manual: controle de “quantas mensagens por vez” e confirmação explícita só após salvar no banco.</w:t>
      </w:r>
    </w:p>
    <w:p>
      <w:pPr>
        <w:pStyle w:val="Compact"/>
        <w:numPr>
          <w:ilvl w:val="0"/>
          <w:numId w:val="1020"/>
        </w:numPr>
      </w:pPr>
      <w:r>
        <w:t xml:space="preserve">Publisher Confirms: confirmação de que a mensagem realmente entrou no RabbitMQ.</w:t>
      </w:r>
    </w:p>
    <w:p>
      <w:pPr>
        <w:pStyle w:val="Compact"/>
        <w:numPr>
          <w:ilvl w:val="0"/>
          <w:numId w:val="1020"/>
        </w:numPr>
      </w:pPr>
      <w:r>
        <w:t xml:space="preserve">Quorum Queues: tipo de fila mais resiliente (produção); Classic Queues: mais simples (desenvolvimento).</w:t>
      </w:r>
    </w:p>
    <w:p>
      <w:pPr>
        <w:pStyle w:val="Compact"/>
        <w:numPr>
          <w:ilvl w:val="0"/>
          <w:numId w:val="1020"/>
        </w:numPr>
      </w:pPr>
      <w:r>
        <w:t xml:space="preserve">Schema canônico e normalização: formato comum de dados para todos os marketplaces, reduzindo surpresas.</w:t>
      </w:r>
    </w:p>
    <w:p>
      <w:pPr>
        <w:pStyle w:val="Compact"/>
        <w:numPr>
          <w:ilvl w:val="0"/>
          <w:numId w:val="1020"/>
        </w:numPr>
      </w:pPr>
      <w:r>
        <w:t xml:space="preserve">Circuit breaker e backoff: proteções contra instabilidades externas e “tentativas mais espaçadas”.</w:t>
      </w:r>
    </w:p>
    <w:p>
      <w:pPr>
        <w:pStyle w:val="Compact"/>
        <w:numPr>
          <w:ilvl w:val="0"/>
          <w:numId w:val="1020"/>
        </w:numPr>
      </w:pPr>
      <w:r>
        <w:t xml:space="preserve">Rate limit: limite imposto por APIs de terceiros; deve ser respeitado com controle de chamadas.</w:t>
      </w:r>
    </w:p>
    <w:p>
      <w:pPr>
        <w:pStyle w:val="Compact"/>
        <w:numPr>
          <w:ilvl w:val="0"/>
          <w:numId w:val="1020"/>
        </w:numPr>
      </w:pPr>
      <w:r>
        <w:t xml:space="preserve">Backlog de fila: quantidade de mensagens pendentes; quando cresce, indica gargalos.</w:t>
      </w:r>
    </w:p>
    <w:p>
      <w:pPr>
        <w:pStyle w:val="Compact"/>
        <w:numPr>
          <w:ilvl w:val="0"/>
          <w:numId w:val="1020"/>
        </w:numPr>
      </w:pPr>
      <w:r>
        <w:t xml:space="preserve">CorrelationId/TraceId: identificadores para seguir a jornada de uma mensagem ponta a ponta.</w:t>
      </w:r>
    </w:p>
    <w:p>
      <w:pPr>
        <w:pStyle w:val="Compact"/>
        <w:numPr>
          <w:ilvl w:val="0"/>
          <w:numId w:val="1020"/>
        </w:numPr>
      </w:pPr>
      <w:r>
        <w:t xml:space="preserve">“Última versão vence”: quando chegam atualizações fora de ordem, vale a mais recente pelo timestamp.</w:t>
      </w:r>
    </w:p>
    <w:bookmarkEnd w:id="22"/>
    <w:bookmarkEnd w:id="2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9" Target="media/rId9.png" /><Relationship Type="http://schemas.openxmlformats.org/officeDocument/2006/relationships/hyperlink" Id="rId19" Target="https://github.com/chmulato/hub_town" TargetMode="External" /><Relationship Type="http://schemas.openxmlformats.org/officeDocument/2006/relationships/hyperlink" Id="rId20" Target="https://www.caracore.com.br/personal/articles/2025_09_28_hub_local_de_integracao_para_pequenas_cidades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9" Target="https://github.com/chmulato/hub_town" TargetMode="External" /><Relationship Type="http://schemas.openxmlformats.org/officeDocument/2006/relationships/hyperlink" Id="rId20" Target="https://www.caracore.com.br/personal/articles/2025_09_28_hub_local_de_integracao_para_pequenas_cidades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2025-09-13T22:39:03Z</dcterms:created>
  <dcterms:modified xsi:type="dcterms:W3CDTF">2025-09-13T22:39:03Z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