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.png" ContentType="image/png"/>
  <Override PartName="/word/media/rId1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Xfdcfdfd48019d774592f1dc229c455d4c0ecf47"/>
    <w:p>
      <w:pPr>
        <w:pStyle w:val="Heading2"/>
      </w:pPr>
      <w:r>
        <w:t xml:space="preserve">Do código ao valor em minutos: automação que acelera entregas e reduz riscos</w:t>
      </w:r>
    </w:p>
    <w:p>
      <w:pPr>
        <w:pStyle w:val="FirstParagraph"/>
      </w:pPr>
      <w:r>
        <w:drawing>
          <wp:inline>
            <wp:extent cx="5334000" cy="3556000"/>
            <wp:effectExtent b="0" l="0" r="0" t="0"/>
            <wp:docPr descr="Imagem principal do artigo" title="" id="10" name="Picture"/>
            <a:graphic>
              <a:graphicData uri="http://schemas.openxmlformats.org/drawingml/2006/picture">
                <pic:pic>
                  <pic:nvPicPr>
                    <pic:cNvPr descr="./img/article_i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Automação do build e deploy: do código ao valor com previsibilidade.</w:t>
      </w:r>
    </w:p>
    <w:p>
      <w:pPr>
        <w:pStyle w:val="BodyText"/>
      </w:pPr>
      <w:r>
        <w:t xml:space="preserve">Empresas que lidam com aplicações corporativas costumam enfrentar o mesmo dilema: como transformar código em valor de negócio com rapidez e previsibilidade, sem aumentar riscos operacionais? Nosso time encarou esse desafio ao modernizar o fluxo de validação e publicação de uma aplicação Java baseada em Jakarta EE, rodando nos servidores de aplicação Tomcat e WildFly.</w:t>
      </w:r>
    </w:p>
    <w:p>
      <w:pPr>
        <w:pStyle w:val="BodyText"/>
      </w:pPr>
      <w:r>
        <w:t xml:space="preserve">O resultado é um processo automatizado, simples de acionar, que reduz o esforço manual e encurta o tempo entre “desenvolver” e “comprovar que funciona”.</w:t>
      </w:r>
    </w:p>
    <w:bookmarkStart w:id="12" w:name="o-desafio"/>
    <w:p>
      <w:pPr>
        <w:pStyle w:val="Heading3"/>
      </w:pPr>
      <w:r>
        <w:t xml:space="preserve">O desafio</w:t>
      </w:r>
    </w:p>
    <w:p>
      <w:pPr>
        <w:pStyle w:val="FirstParagraph"/>
      </w:pPr>
      <w:r>
        <w:t xml:space="preserve">Ambientes de desenvolvimento e teste historicamente sofrem com passos manuais: configurar servidor, preparar banco, publicar o artefato, checar se a aplicação subiu e se o login funciona. Esse ciclo, quando repetido por cada pessoa do time, gera inconsistências, retrabalho e atrasos.</w:t>
      </w:r>
    </w:p>
    <w:bookmarkEnd w:id="12"/>
    <w:bookmarkStart w:id="16" w:name="a-nossa-resposta"/>
    <w:p>
      <w:pPr>
        <w:pStyle w:val="Heading3"/>
      </w:pPr>
      <w:r>
        <w:t xml:space="preserve">A nossa resposta</w:t>
      </w:r>
    </w:p>
    <w:p>
      <w:pPr>
        <w:pStyle w:val="FirstParagraph"/>
      </w:pPr>
      <w:r>
        <w:t xml:space="preserve">Criamos um orquestrador leve em Python que padroniza o caminho “do build ao login”. Em um único fluxo:</w:t>
      </w:r>
      <w:r>
        <w:t xml:space="preserve"> </w:t>
      </w:r>
      <w:r>
        <w:t xml:space="preserve">- prepara o ambiente de banco de dados;</w:t>
      </w:r>
      <w:r>
        <w:t xml:space="preserve"> </w:t>
      </w:r>
      <w:r>
        <w:t xml:space="preserve">- compila a aplicação;</w:t>
      </w:r>
      <w:r>
        <w:t xml:space="preserve"> </w:t>
      </w:r>
      <w:r>
        <w:t xml:space="preserve">- publica nos servidores Tomcat e WildFly, respeitando as particularidades de cada um;</w:t>
      </w:r>
      <w:r>
        <w:t xml:space="preserve"> </w:t>
      </w:r>
      <w:r>
        <w:t xml:space="preserve">- confirma que a aplicação está de pé e que o login realmente funciona.</w:t>
      </w:r>
    </w:p>
    <w:p>
      <w:pPr>
        <w:pStyle w:val="BodyText"/>
      </w:pPr>
      <w:r>
        <w:t xml:space="preserve">Tudo isso com logs claros e passos idempotentes, para que o mesmo comando funcione de forma confiável na sua máquina e no ambiente de testes.</w:t>
      </w:r>
    </w:p>
    <w:p>
      <w:pPr>
        <w:pStyle w:val="BodyText"/>
      </w:pPr>
      <w:r>
        <w:drawing>
          <wp:inline>
            <wp:extent cx="5334000" cy="3269225"/>
            <wp:effectExtent b="0" l="0" r="0" t="0"/>
            <wp:docPr descr="Imagem secundária do artigo" title="" id="14" name="Picture"/>
            <a:graphic>
              <a:graphicData uri="http://schemas.openxmlformats.org/drawingml/2006/picture">
                <pic:pic>
                  <pic:nvPicPr>
                    <pic:cNvPr descr="./img/article_ii.png" id="15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9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Fluxo fim a fim: banco de dados, build, deploy e validação de login.</w:t>
      </w:r>
    </w:p>
    <w:bookmarkEnd w:id="16"/>
    <w:bookmarkStart w:id="17" w:name="o-que-muda-no-dia-a-dia"/>
    <w:p>
      <w:pPr>
        <w:pStyle w:val="Heading3"/>
      </w:pPr>
      <w:r>
        <w:t xml:space="preserve">O que muda no dia a dia</w:t>
      </w:r>
    </w:p>
    <w:p>
      <w:pPr>
        <w:pStyle w:val="Compact"/>
        <w:numPr>
          <w:ilvl w:val="0"/>
          <w:numId w:val="1001"/>
        </w:numPr>
      </w:pPr>
      <w:r>
        <w:t xml:space="preserve">Menos atrito e menos passos manuais. O time deixa de “cuidar de servidor” para focar no que gera valor: produto e cliente.</w:t>
      </w:r>
    </w:p>
    <w:p>
      <w:pPr>
        <w:pStyle w:val="Compact"/>
        <w:numPr>
          <w:ilvl w:val="0"/>
          <w:numId w:val="1001"/>
        </w:numPr>
      </w:pPr>
      <w:r>
        <w:t xml:space="preserve">Feedback mais rápido. A verificação de “build + publicação + login” acontece em minutos e de forma repetível.</w:t>
      </w:r>
    </w:p>
    <w:p>
      <w:pPr>
        <w:pStyle w:val="Compact"/>
        <w:numPr>
          <w:ilvl w:val="0"/>
          <w:numId w:val="1001"/>
        </w:numPr>
      </w:pPr>
      <w:r>
        <w:t xml:space="preserve">Menos variabilidade entre máquinas. Padronização reduz “funciona aqui, mas não ali”.</w:t>
      </w:r>
    </w:p>
    <w:p>
      <w:pPr>
        <w:pStyle w:val="Compact"/>
        <w:numPr>
          <w:ilvl w:val="0"/>
          <w:numId w:val="1001"/>
        </w:numPr>
      </w:pPr>
      <w:r>
        <w:t xml:space="preserve">Diagnóstico mais objetivo. Quando algo falha, os logs mostram exatamente onde atuar.</w:t>
      </w:r>
    </w:p>
    <w:bookmarkEnd w:id="17"/>
    <w:bookmarkStart w:id="18" w:name="benefícios-para-o-negócio"/>
    <w:p>
      <w:pPr>
        <w:pStyle w:val="Heading3"/>
      </w:pPr>
      <w:r>
        <w:t xml:space="preserve">Benefícios para o negócio</w:t>
      </w:r>
    </w:p>
    <w:p>
      <w:pPr>
        <w:pStyle w:val="Compact"/>
        <w:numPr>
          <w:ilvl w:val="0"/>
          <w:numId w:val="1002"/>
        </w:numPr>
      </w:pPr>
      <w:r>
        <w:t xml:space="preserve">Velocidade com governança: acelerar entregas sem abrir mão de controle e visibilidade.</w:t>
      </w:r>
    </w:p>
    <w:p>
      <w:pPr>
        <w:pStyle w:val="Compact"/>
        <w:numPr>
          <w:ilvl w:val="0"/>
          <w:numId w:val="1002"/>
        </w:numPr>
      </w:pPr>
      <w:r>
        <w:t xml:space="preserve">Qualidade percebida: a validação fim a fim (inclusive login) evita surpresas em demonstrações e testes de aceitação.</w:t>
      </w:r>
    </w:p>
    <w:p>
      <w:pPr>
        <w:pStyle w:val="Compact"/>
        <w:numPr>
          <w:ilvl w:val="0"/>
          <w:numId w:val="1002"/>
        </w:numPr>
      </w:pPr>
      <w:r>
        <w:t xml:space="preserve">Produtividade: menos tempo montando ambiente, mais tempo entregando valor.</w:t>
      </w:r>
    </w:p>
    <w:p>
      <w:pPr>
        <w:pStyle w:val="Compact"/>
        <w:numPr>
          <w:ilvl w:val="0"/>
          <w:numId w:val="1002"/>
        </w:numPr>
      </w:pPr>
      <w:r>
        <w:t xml:space="preserve">Redução de risco: processos padronizados diminuem erros operacionais e retrabalho.</w:t>
      </w:r>
    </w:p>
    <w:bookmarkEnd w:id="18"/>
    <w:bookmarkStart w:id="19" w:name="padronização-que-habilita-escala"/>
    <w:p>
      <w:pPr>
        <w:pStyle w:val="Heading3"/>
      </w:pPr>
      <w:r>
        <w:t xml:space="preserve">Padronização que habilita escala</w:t>
      </w:r>
    </w:p>
    <w:p>
      <w:pPr>
        <w:pStyle w:val="FirstParagraph"/>
      </w:pPr>
      <w:r>
        <w:t xml:space="preserve">Publicar em Tomcat ou em WildFly sempre teve diferenças práticas. Nosso fluxo isola essas particularidades em um roteiro único e confiável, o que facilita treinar o time, reproduzir resultados e escalar as entregas com previsibilidade.</w:t>
      </w:r>
    </w:p>
    <w:bookmarkEnd w:id="19"/>
    <w:bookmarkStart w:id="20" w:name="o-que-está-pronto-hoje"/>
    <w:p>
      <w:pPr>
        <w:pStyle w:val="Heading3"/>
      </w:pPr>
      <w:r>
        <w:t xml:space="preserve">O que está pronto hoje</w:t>
      </w:r>
    </w:p>
    <w:p>
      <w:pPr>
        <w:pStyle w:val="Compact"/>
        <w:numPr>
          <w:ilvl w:val="0"/>
          <w:numId w:val="1003"/>
        </w:numPr>
      </w:pPr>
      <w:r>
        <w:t xml:space="preserve">Execução com um comando: build, publicação em Tomcat e WildFly e verificação de disponibilidade.</w:t>
      </w:r>
    </w:p>
    <w:p>
      <w:pPr>
        <w:pStyle w:val="Compact"/>
        <w:numPr>
          <w:ilvl w:val="0"/>
          <w:numId w:val="1003"/>
        </w:numPr>
      </w:pPr>
      <w:r>
        <w:t xml:space="preserve">Checagem de banco e credenciais de teste para garantir que “logar” funciona de ponta a ponta.</w:t>
      </w:r>
    </w:p>
    <w:p>
      <w:pPr>
        <w:pStyle w:val="Compact"/>
        <w:numPr>
          <w:ilvl w:val="0"/>
          <w:numId w:val="1003"/>
        </w:numPr>
      </w:pPr>
      <w:r>
        <w:t xml:space="preserve">Registro de evidências (logs) para auditoria e diagnóstico.</w:t>
      </w:r>
    </w:p>
    <w:bookmarkEnd w:id="20"/>
    <w:bookmarkStart w:id="21" w:name="próximos-passos"/>
    <w:p>
      <w:pPr>
        <w:pStyle w:val="Heading3"/>
      </w:pPr>
      <w:r>
        <w:t xml:space="preserve">Próximos passos</w:t>
      </w:r>
    </w:p>
    <w:p>
      <w:pPr>
        <w:pStyle w:val="Compact"/>
        <w:numPr>
          <w:ilvl w:val="0"/>
          <w:numId w:val="1004"/>
        </w:numPr>
      </w:pPr>
      <w:r>
        <w:t xml:space="preserve">Levar o mesmo fluxo para uma esteira de CI/CD de forma leve.</w:t>
      </w:r>
    </w:p>
    <w:p>
      <w:pPr>
        <w:pStyle w:val="Compact"/>
        <w:numPr>
          <w:ilvl w:val="0"/>
          <w:numId w:val="1004"/>
        </w:numPr>
      </w:pPr>
      <w:r>
        <w:t xml:space="preserve">Expor indicadores simples (tempo de ciclo, taxa de sucesso) para orientar decisões.</w:t>
      </w:r>
    </w:p>
    <w:p>
      <w:pPr>
        <w:pStyle w:val="Compact"/>
        <w:numPr>
          <w:ilvl w:val="0"/>
          <w:numId w:val="1004"/>
        </w:numPr>
      </w:pPr>
      <w:r>
        <w:t xml:space="preserve">Reforçar padrões que facilitem auditoria e compliance sem burocracia.</w:t>
      </w:r>
    </w:p>
    <w:bookmarkEnd w:id="21"/>
    <w:bookmarkStart w:id="22" w:name="convite"/>
    <w:p>
      <w:pPr>
        <w:pStyle w:val="Heading3"/>
      </w:pPr>
      <w:r>
        <w:t xml:space="preserve">Convite</w:t>
      </w:r>
    </w:p>
    <w:p>
      <w:pPr>
        <w:pStyle w:val="FirstParagraph"/>
      </w:pPr>
      <w:r>
        <w:t xml:space="preserve">Se você busca reduzir o tempo entre código e valor, mantendo governança e qualidade, vamos conversar. Nosso objetivo é que qualquer pessoa do time consiga validar uma release com confiança — e que essa confiança se traduza em melhores experiências para clientes e áreas de negócio.</w:t>
      </w:r>
    </w:p>
    <w:p>
      <w:pPr>
        <w:pStyle w:val="BodyText"/>
      </w:pPr>
      <w:r>
        <w:t xml:space="preserve">Saiba mais e acesse o código-fonte:</w:t>
      </w:r>
    </w:p>
    <w:p>
      <w:pPr>
        <w:pStyle w:val="BodyText"/>
      </w:pPr>
      <w:r>
        <w:t xml:space="preserve">https://github.com/chmulato/app_jakarta</w:t>
      </w:r>
    </w:p>
    <w:bookmarkEnd w:id="22"/>
    <w:bookmarkEnd w:id="23"/>
    <w:bookmarkStart w:id="32" w:name="X9fcd701f43fd1145d2dfc0c5f8ee9195cf472c4"/>
    <w:p>
      <w:pPr>
        <w:pStyle w:val="Heading2"/>
      </w:pPr>
      <w:r>
        <w:t xml:space="preserve">Do build ao login em minutos: nosso fluxo de deploy automatizado com Python, Jakarta EE, Tomcat e WildFly</w:t>
      </w:r>
    </w:p>
    <w:p>
      <w:pPr>
        <w:pStyle w:val="FirstParagraph"/>
      </w:pPr>
      <w:r>
        <w:t xml:space="preserve">Nos últimos meses, investimos tempo para tornar o ciclo “build → deploy → validar” do nosso projeto Java com Jakarta EE não apenas mais rápido, mas também previsível, reprodutível e confiável em ambientes de desenvolvimento e teste. O resultado é um orquestrador em Python (</w:t>
      </w:r>
      <w:r>
        <w:rPr>
          <w:rStyle w:val="VerbatimChar"/>
        </w:rPr>
        <w:t xml:space="preserve">main.py</w:t>
      </w:r>
      <w:r>
        <w:t xml:space="preserve">) que, com um único comando, faz o build do WAR, configura datasources por servidor, executa deploy “frio” no Tomcat e “quente” no WildFly, garante o banco de dados no ar e valida o login da aplicação tanto por HTTP quanto via navegador headless.</w:t>
      </w:r>
    </w:p>
    <w:p>
      <w:pPr>
        <w:pStyle w:val="BodyText"/>
      </w:pPr>
      <w:r>
        <w:t xml:space="preserve">Publicaremos este relato no dia 26 de outubro de 2025 porque acreditamos que automatizar o caminho “da estação de trabalho ao servidor de aplicação” é a forma mais direta de reduzir atrito entre código e feedback, acelerar iterações e aumentar a qualidade.</w:t>
      </w:r>
    </w:p>
    <w:bookmarkStart w:id="24" w:name="por-que-construímos-esse-orquestrador"/>
    <w:p>
      <w:pPr>
        <w:pStyle w:val="Heading3"/>
      </w:pPr>
      <w:r>
        <w:t xml:space="preserve">Por que construímos esse orquestrador</w:t>
      </w:r>
    </w:p>
    <w:p>
      <w:pPr>
        <w:pStyle w:val="Compact"/>
        <w:numPr>
          <w:ilvl w:val="0"/>
          <w:numId w:val="1005"/>
        </w:numPr>
      </w:pPr>
      <w:r>
        <w:t xml:space="preserve">Reduzir tempo de setup e diagnóstico para cada desenvolvedor.</w:t>
      </w:r>
    </w:p>
    <w:p>
      <w:pPr>
        <w:pStyle w:val="Compact"/>
        <w:numPr>
          <w:ilvl w:val="0"/>
          <w:numId w:val="1005"/>
        </w:numPr>
      </w:pPr>
      <w:r>
        <w:t xml:space="preserve">Padronizar deployment entre Tomcat e WildFly, respeitando as particularidades de cada um.</w:t>
      </w:r>
    </w:p>
    <w:p>
      <w:pPr>
        <w:pStyle w:val="Compact"/>
        <w:numPr>
          <w:ilvl w:val="0"/>
          <w:numId w:val="1005"/>
        </w:numPr>
      </w:pPr>
      <w:r>
        <w:t xml:space="preserve">Validar a aplicação de ponta a ponta, desde JNDI até autenticação, em um único fluxo não interativo (ideal para ambientes de teste).</w:t>
      </w:r>
    </w:p>
    <w:p>
      <w:pPr>
        <w:pStyle w:val="Compact"/>
        <w:numPr>
          <w:ilvl w:val="0"/>
          <w:numId w:val="1005"/>
        </w:numPr>
      </w:pPr>
      <w:r>
        <w:t xml:space="preserve">Eliminar “falsos verdes”: não basta compilar, precisamos garantir que “logar” funciona.</w:t>
      </w:r>
    </w:p>
    <w:bookmarkEnd w:id="24"/>
    <w:bookmarkStart w:id="25" w:name="o-coração-do-projeto-main.py"/>
    <w:p>
      <w:pPr>
        <w:pStyle w:val="Heading3"/>
      </w:pPr>
      <w:r>
        <w:t xml:space="preserve">O coração do projeto:</w:t>
      </w:r>
      <w:r>
        <w:t xml:space="preserve"> </w:t>
      </w:r>
      <w:r>
        <w:rPr>
          <w:rStyle w:val="VerbatimChar"/>
        </w:rPr>
        <w:t xml:space="preserve">main.py</w:t>
      </w:r>
    </w:p>
    <w:p>
      <w:pPr>
        <w:pStyle w:val="FirstParagraph"/>
      </w:pPr>
      <w:r>
        <w:t xml:space="preserve">Nosso script principal é uma CLI que entende o contexto do projeto e executa operações idempotentes. Um destaque especial é a opção 12 (E2E):</w:t>
      </w:r>
    </w:p>
    <w:p>
      <w:pPr>
        <w:pStyle w:val="Compact"/>
        <w:numPr>
          <w:ilvl w:val="0"/>
          <w:numId w:val="1006"/>
        </w:numPr>
      </w:pPr>
      <w:r>
        <w:t xml:space="preserve">Para servidores antes de começar</w:t>
      </w:r>
    </w:p>
    <w:p>
      <w:pPr>
        <w:pStyle w:val="Compact"/>
        <w:numPr>
          <w:ilvl w:val="1"/>
          <w:numId w:val="1007"/>
        </w:numPr>
      </w:pPr>
      <w:r>
        <w:t xml:space="preserve">Agora a opção 12 inicia parando Tomcat e WildFly se estiverem rodando, garantindo estado limpo.</w:t>
      </w:r>
    </w:p>
    <w:p>
      <w:pPr>
        <w:pStyle w:val="Compact"/>
        <w:numPr>
          <w:ilvl w:val="0"/>
          <w:numId w:val="1006"/>
        </w:numPr>
      </w:pPr>
      <w:r>
        <w:t xml:space="preserve">Garante banco de dados disponível (PostgreSQL via Docker Compose)</w:t>
      </w:r>
    </w:p>
    <w:p>
      <w:pPr>
        <w:pStyle w:val="Compact"/>
        <w:numPr>
          <w:ilvl w:val="1"/>
          <w:numId w:val="1008"/>
        </w:numPr>
      </w:pPr>
      <w:r>
        <w:t xml:space="preserve">Faz health-check e aplica seed do usuário ADMIN para testes.</w:t>
      </w:r>
    </w:p>
    <w:p>
      <w:pPr>
        <w:pStyle w:val="Compact"/>
        <w:numPr>
          <w:ilvl w:val="0"/>
          <w:numId w:val="1006"/>
        </w:numPr>
      </w:pPr>
      <w:r>
        <w:t xml:space="preserve">Build consistente do WAR</w:t>
      </w:r>
    </w:p>
    <w:p>
      <w:pPr>
        <w:pStyle w:val="Compact"/>
        <w:numPr>
          <w:ilvl w:val="1"/>
          <w:numId w:val="1009"/>
        </w:numPr>
      </w:pPr>
      <w:r>
        <w:t xml:space="preserve">Executa Maven com</w:t>
      </w:r>
      <w:r>
        <w:t xml:space="preserve"> </w:t>
      </w:r>
      <w:r>
        <w:rPr>
          <w:rStyle w:val="VerbatimChar"/>
        </w:rPr>
        <w:t xml:space="preserve">clean package -DskipTests</w:t>
      </w:r>
      <w:r>
        <w:t xml:space="preserve"> </w:t>
      </w:r>
      <w:r>
        <w:t xml:space="preserve">e valida a saída.</w:t>
      </w:r>
    </w:p>
    <w:p>
      <w:pPr>
        <w:pStyle w:val="Compact"/>
        <w:numPr>
          <w:ilvl w:val="0"/>
          <w:numId w:val="1006"/>
        </w:numPr>
      </w:pPr>
      <w:r>
        <w:t xml:space="preserve">Deploy por servidor, respeitando o perfil de cada um</w:t>
      </w:r>
    </w:p>
    <w:p>
      <w:pPr>
        <w:pStyle w:val="Compact"/>
        <w:numPr>
          <w:ilvl w:val="1"/>
          <w:numId w:val="1010"/>
        </w:numPr>
      </w:pPr>
      <w:r>
        <w:t xml:space="preserve">Tomcat: cold deploy (parar, limpar e subir com WAR novo).</w:t>
      </w:r>
    </w:p>
    <w:p>
      <w:pPr>
        <w:pStyle w:val="Compact"/>
        <w:numPr>
          <w:ilvl w:val="1"/>
          <w:numId w:val="1010"/>
        </w:numPr>
      </w:pPr>
      <w:r>
        <w:t xml:space="preserve">WildFly: hot deploy (scanner de</w:t>
      </w:r>
      <w:r>
        <w:t xml:space="preserve"> </w:t>
      </w:r>
      <w:r>
        <w:rPr>
          <w:rStyle w:val="VerbatimChar"/>
        </w:rPr>
        <w:t xml:space="preserve">deployments</w:t>
      </w:r>
      <w:r>
        <w:t xml:space="preserve"> </w:t>
      </w:r>
      <w:r>
        <w:t xml:space="preserve">reprocessa o artefato).</w:t>
      </w:r>
    </w:p>
    <w:p>
      <w:pPr>
        <w:pStyle w:val="Compact"/>
        <w:numPr>
          <w:ilvl w:val="0"/>
          <w:numId w:val="1006"/>
        </w:numPr>
      </w:pPr>
      <w:r>
        <w:t xml:space="preserve">JNDI confiável e portável</w:t>
      </w:r>
    </w:p>
    <w:p>
      <w:pPr>
        <w:pStyle w:val="Compact"/>
        <w:numPr>
          <w:ilvl w:val="1"/>
          <w:numId w:val="1011"/>
        </w:numPr>
      </w:pPr>
      <w:r>
        <w:t xml:space="preserve">Tomcat usa</w:t>
      </w:r>
      <w:r>
        <w:t xml:space="preserve"> </w:t>
      </w:r>
      <w:r>
        <w:rPr>
          <w:rStyle w:val="VerbatimChar"/>
        </w:rPr>
        <w:t xml:space="preserve">java:comp/env/jdbc/PostgresDS</w:t>
      </w:r>
      <w:r>
        <w:t xml:space="preserve"> </w:t>
      </w:r>
      <w:r>
        <w:t xml:space="preserve">(Resource em</w:t>
      </w:r>
      <w:r>
        <w:t xml:space="preserve"> </w:t>
      </w:r>
      <w:r>
        <w:rPr>
          <w:rStyle w:val="VerbatimChar"/>
        </w:rPr>
        <w:t xml:space="preserve">conf/context.xml</w:t>
      </w:r>
      <w:r>
        <w:t xml:space="preserve">, com DBCP do próprio Tomcat).</w:t>
      </w:r>
    </w:p>
    <w:p>
      <w:pPr>
        <w:pStyle w:val="Compact"/>
        <w:numPr>
          <w:ilvl w:val="1"/>
          <w:numId w:val="1011"/>
        </w:numPr>
      </w:pPr>
      <w:r>
        <w:t xml:space="preserve">WildFly usa</w:t>
      </w:r>
      <w:r>
        <w:t xml:space="preserve"> </w:t>
      </w:r>
      <w:r>
        <w:rPr>
          <w:rStyle w:val="VerbatimChar"/>
        </w:rPr>
        <w:t xml:space="preserve">java:/jdbc/PostgresDS</w:t>
      </w:r>
      <w:r>
        <w:t xml:space="preserve"> </w:t>
      </w:r>
      <w:r>
        <w:t xml:space="preserve">(datasource no</w:t>
      </w:r>
      <w:r>
        <w:t xml:space="preserve"> </w:t>
      </w:r>
      <w:r>
        <w:rPr>
          <w:rStyle w:val="VerbatimChar"/>
        </w:rPr>
        <w:t xml:space="preserve">standalone.xml</w:t>
      </w:r>
      <w:r>
        <w:t xml:space="preserve"> </w:t>
      </w:r>
      <w:r>
        <w:t xml:space="preserve">+ driver no módulo</w:t>
      </w:r>
      <w:r>
        <w:t xml:space="preserve"> </w:t>
      </w:r>
      <w:r>
        <w:rPr>
          <w:rStyle w:val="VerbatimChar"/>
        </w:rPr>
        <w:t xml:space="preserve">org.postgresql</w:t>
      </w:r>
      <w:r>
        <w:t xml:space="preserve">).</w:t>
      </w:r>
    </w:p>
    <w:p>
      <w:pPr>
        <w:pStyle w:val="Compact"/>
        <w:numPr>
          <w:ilvl w:val="0"/>
          <w:numId w:val="1006"/>
        </w:numPr>
      </w:pPr>
      <w:r>
        <w:t xml:space="preserve">Validação real de login</w:t>
      </w:r>
    </w:p>
    <w:p>
      <w:pPr>
        <w:pStyle w:val="Compact"/>
        <w:numPr>
          <w:ilvl w:val="1"/>
          <w:numId w:val="1012"/>
        </w:numPr>
      </w:pPr>
      <w:r>
        <w:t xml:space="preserve">Primeiro tenta navegação real com Playwright (headless).</w:t>
      </w:r>
    </w:p>
    <w:p>
      <w:pPr>
        <w:pStyle w:val="Compact"/>
        <w:numPr>
          <w:ilvl w:val="1"/>
          <w:numId w:val="1012"/>
        </w:numPr>
      </w:pPr>
      <w:r>
        <w:t xml:space="preserve">Fallback HTTP robusto (form discovery simples + variações de parâmetros).</w:t>
      </w:r>
    </w:p>
    <w:p>
      <w:pPr>
        <w:pStyle w:val="Compact"/>
        <w:numPr>
          <w:ilvl w:val="0"/>
          <w:numId w:val="1006"/>
        </w:numPr>
      </w:pPr>
      <w:r>
        <w:t xml:space="preserve">Logs e diagnósticos</w:t>
      </w:r>
    </w:p>
    <w:p>
      <w:pPr>
        <w:pStyle w:val="Compact"/>
        <w:numPr>
          <w:ilvl w:val="1"/>
          <w:numId w:val="1013"/>
        </w:numPr>
      </w:pPr>
      <w:r>
        <w:t xml:space="preserve">Log diário com nome padrão</w:t>
      </w:r>
      <w:r>
        <w:t xml:space="preserve"> </w:t>
      </w:r>
      <w:r>
        <w:rPr>
          <w:rStyle w:val="VerbatimChar"/>
        </w:rPr>
        <w:t xml:space="preserve">YYYY_MM_DD_nome.log</w:t>
      </w:r>
      <w:r>
        <w:t xml:space="preserve">.</w:t>
      </w:r>
    </w:p>
    <w:p>
      <w:pPr>
        <w:pStyle w:val="Compact"/>
        <w:numPr>
          <w:ilvl w:val="1"/>
          <w:numId w:val="1013"/>
        </w:numPr>
      </w:pPr>
      <w:r>
        <w:t xml:space="preserve">Heurísticas de logs do container para detectar bind do JNDI ou falhas de driver.</w:t>
      </w:r>
    </w:p>
    <w:p>
      <w:pPr>
        <w:pStyle w:val="Compact"/>
        <w:numPr>
          <w:ilvl w:val="1"/>
          <w:numId w:val="1013"/>
        </w:numPr>
      </w:pPr>
      <w:r>
        <w:t xml:space="preserve">Validação HTTP opcional de “status JNDI/DB”, se a app expõe algum endpoint de saúde.</w:t>
      </w:r>
    </w:p>
    <w:bookmarkEnd w:id="25"/>
    <w:bookmarkStart w:id="26" w:name="X72d29705f9d784d5b30174f928e9b6f66100c18"/>
    <w:p>
      <w:pPr>
        <w:pStyle w:val="Heading3"/>
      </w:pPr>
      <w:r>
        <w:t xml:space="preserve">Decisões técnicas que fizeram a diferença</w:t>
      </w:r>
    </w:p>
    <w:p>
      <w:pPr>
        <w:pStyle w:val="Compact"/>
        <w:numPr>
          <w:ilvl w:val="0"/>
          <w:numId w:val="1014"/>
        </w:numPr>
      </w:pPr>
      <w:r>
        <w:t xml:space="preserve">Context path padronizado dentro do WAR</w:t>
      </w:r>
    </w:p>
    <w:p>
      <w:pPr>
        <w:pStyle w:val="Compact"/>
        <w:numPr>
          <w:ilvl w:val="1"/>
          <w:numId w:val="1015"/>
        </w:numPr>
      </w:pPr>
      <w:r>
        <w:t xml:space="preserve">Usamos</w:t>
      </w:r>
      <w:r>
        <w:t xml:space="preserve"> </w:t>
      </w:r>
      <w:r>
        <w:rPr>
          <w:rStyle w:val="VerbatimChar"/>
        </w:rPr>
        <w:t xml:space="preserve">META-INF/context.xml</w:t>
      </w:r>
      <w:r>
        <w:t xml:space="preserve"> </w:t>
      </w:r>
      <w:r>
        <w:t xml:space="preserve">para declarar o caminho da aplicação, garantindo consistência entre os servidores.</w:t>
      </w:r>
    </w:p>
    <w:p>
      <w:pPr>
        <w:pStyle w:val="Compact"/>
        <w:numPr>
          <w:ilvl w:val="0"/>
          <w:numId w:val="1014"/>
        </w:numPr>
      </w:pPr>
      <w:r>
        <w:t xml:space="preserve">JNDI por container, sem gambiarras</w:t>
      </w:r>
    </w:p>
    <w:p>
      <w:pPr>
        <w:pStyle w:val="Compact"/>
        <w:numPr>
          <w:ilvl w:val="1"/>
          <w:numId w:val="1016"/>
        </w:numPr>
      </w:pPr>
      <w:r>
        <w:t xml:space="preserve">WildFly:</w:t>
      </w:r>
      <w:r>
        <w:t xml:space="preserve"> </w:t>
      </w:r>
      <w:r>
        <w:rPr>
          <w:rStyle w:val="VerbatimChar"/>
        </w:rPr>
        <w:t xml:space="preserve">java:/jdbc/PostgresDS</w:t>
      </w:r>
      <w:r>
        <w:t xml:space="preserve"> </w:t>
      </w:r>
      <w:r>
        <w:t xml:space="preserve">(non-jta-data-source em</w:t>
      </w:r>
      <w:r>
        <w:t xml:space="preserve"> </w:t>
      </w:r>
      <w:r>
        <w:rPr>
          <w:rStyle w:val="VerbatimChar"/>
        </w:rPr>
        <w:t xml:space="preserve">persistence.xml</w:t>
      </w:r>
      <w:r>
        <w:t xml:space="preserve">).</w:t>
      </w:r>
    </w:p>
    <w:p>
      <w:pPr>
        <w:pStyle w:val="Compact"/>
        <w:numPr>
          <w:ilvl w:val="1"/>
          <w:numId w:val="1016"/>
        </w:numPr>
      </w:pPr>
      <w:r>
        <w:t xml:space="preserve">Tomcat:</w:t>
      </w:r>
      <w:r>
        <w:t xml:space="preserve"> </w:t>
      </w:r>
      <w:r>
        <w:rPr>
          <w:rStyle w:val="VerbatimChar"/>
        </w:rPr>
        <w:t xml:space="preserve">java:comp/env/jdbc/PostgresDS</w:t>
      </w:r>
      <w:r>
        <w:t xml:space="preserve"> </w:t>
      </w:r>
      <w:r>
        <w:t xml:space="preserve">com</w:t>
      </w:r>
      <w:r>
        <w:t xml:space="preserve"> </w:t>
      </w:r>
      <w:r>
        <w:rPr>
          <w:rStyle w:val="VerbatimChar"/>
        </w:rPr>
        <w:t xml:space="preserve">Resource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resource-ref</w:t>
      </w:r>
      <w:r>
        <w:t xml:space="preserve"> </w:t>
      </w:r>
      <w:r>
        <w:t xml:space="preserve">apropriados.</w:t>
      </w:r>
    </w:p>
    <w:p>
      <w:pPr>
        <w:pStyle w:val="Compact"/>
        <w:numPr>
          <w:ilvl w:val="0"/>
          <w:numId w:val="1014"/>
        </w:numPr>
      </w:pPr>
      <w:r>
        <w:t xml:space="preserve">Datasource Tomcat com a factory certa</w:t>
      </w:r>
    </w:p>
    <w:p>
      <w:pPr>
        <w:pStyle w:val="Compact"/>
        <w:numPr>
          <w:ilvl w:val="1"/>
          <w:numId w:val="1017"/>
        </w:numPr>
      </w:pPr>
      <w:r>
        <w:t xml:space="preserve">A factory confiável é a do Tomcat:</w:t>
      </w:r>
      <w:r>
        <w:t xml:space="preserve"> </w:t>
      </w:r>
      <w:r>
        <w:rPr>
          <w:rStyle w:val="VerbatimChar"/>
        </w:rPr>
        <w:t xml:space="preserve">org.apache.tomcat.dbcp.dbcp2.BasicDataSourceFactory</w:t>
      </w:r>
      <w:r>
        <w:t xml:space="preserve">.</w:t>
      </w:r>
    </w:p>
    <w:p>
      <w:pPr>
        <w:pStyle w:val="Compact"/>
        <w:numPr>
          <w:ilvl w:val="0"/>
          <w:numId w:val="1014"/>
        </w:numPr>
      </w:pPr>
      <w:r>
        <w:t xml:space="preserve">Login realmente testável (e previsível)</w:t>
      </w:r>
    </w:p>
    <w:p>
      <w:pPr>
        <w:pStyle w:val="Compact"/>
        <w:numPr>
          <w:ilvl w:val="1"/>
          <w:numId w:val="1018"/>
        </w:numPr>
      </w:pPr>
      <w:r>
        <w:t xml:space="preserve">Padronizamos BCrypt para</w:t>
      </w:r>
      <w:r>
        <w:t xml:space="preserve"> </w:t>
      </w:r>
      <w:r>
        <w:rPr>
          <w:rStyle w:val="VerbatimChar"/>
        </w:rPr>
        <w:t xml:space="preserve">$2a$</w:t>
      </w:r>
      <w:r>
        <w:t xml:space="preserve"> </w:t>
      </w:r>
      <w:r>
        <w:t xml:space="preserve">(compatível com jBCrypt) e normalizamos hashes</w:t>
      </w:r>
      <w:r>
        <w:t xml:space="preserve"> </w:t>
      </w:r>
      <w:r>
        <w:rPr>
          <w:rStyle w:val="VerbatimChar"/>
        </w:rPr>
        <w:t xml:space="preserve">$2b$/$2y$</w:t>
      </w:r>
      <w:r>
        <w:t xml:space="preserve"> </w:t>
      </w:r>
      <w:r>
        <w:t xml:space="preserve">existentes, evitando incompatibilidades silenciosas.</w:t>
      </w:r>
    </w:p>
    <w:p>
      <w:pPr>
        <w:pStyle w:val="Compact"/>
        <w:numPr>
          <w:ilvl w:val="0"/>
          <w:numId w:val="1014"/>
        </w:numPr>
      </w:pPr>
      <w:r>
        <w:t xml:space="preserve">Deploys mais seguros</w:t>
      </w:r>
    </w:p>
    <w:p>
      <w:pPr>
        <w:pStyle w:val="Compact"/>
        <w:numPr>
          <w:ilvl w:val="1"/>
          <w:numId w:val="1019"/>
        </w:numPr>
      </w:pPr>
      <w:r>
        <w:t xml:space="preserve">Cold deploy no Tomcat evita “deployment a quente” incompleto.</w:t>
      </w:r>
    </w:p>
    <w:p>
      <w:pPr>
        <w:pStyle w:val="Compact"/>
        <w:numPr>
          <w:ilvl w:val="1"/>
          <w:numId w:val="1019"/>
        </w:numPr>
      </w:pPr>
      <w:r>
        <w:t xml:space="preserve">Reinício do WildFly quando mexemos no</w:t>
      </w:r>
      <w:r>
        <w:t xml:space="preserve"> </w:t>
      </w:r>
      <w:r>
        <w:rPr>
          <w:rStyle w:val="VerbatimChar"/>
        </w:rPr>
        <w:t xml:space="preserve">standalone.xml</w:t>
      </w:r>
      <w:r>
        <w:t xml:space="preserve"> </w:t>
      </w:r>
      <w:r>
        <w:t xml:space="preserve">ou nos módulos, garantindo que a nova config seja aplicada.</w:t>
      </w:r>
    </w:p>
    <w:bookmarkEnd w:id="26"/>
    <w:bookmarkStart w:id="27" w:name="experiência-do-desenvolvedor"/>
    <w:p>
      <w:pPr>
        <w:pStyle w:val="Heading3"/>
      </w:pPr>
      <w:r>
        <w:t xml:space="preserve">Experiência do desenvolvedor</w:t>
      </w:r>
    </w:p>
    <w:p>
      <w:pPr>
        <w:pStyle w:val="FirstParagraph"/>
      </w:pPr>
      <w:r>
        <w:t xml:space="preserve">Tudo converge na opção 12: uma execução não interativa que faz o “fim a fim” e termina dizendo, com evidências, se seu build realmente subiu e logou. É o tipo de feedback que elimina idas e vindas manuais, e dá confiança para focar no que importa: evolução do produto.</w:t>
      </w:r>
    </w:p>
    <w:p>
      <w:pPr>
        <w:pStyle w:val="BodyText"/>
      </w:pPr>
      <w:r>
        <w:t xml:space="preserve">Principais checks feitos automaticamente:</w:t>
      </w:r>
    </w:p>
    <w:p>
      <w:pPr>
        <w:pStyle w:val="Compact"/>
        <w:numPr>
          <w:ilvl w:val="0"/>
          <w:numId w:val="1020"/>
        </w:numPr>
      </w:pPr>
      <w:r>
        <w:t xml:space="preserve">Docker Compose presente e PostgreSQL no ar.</w:t>
      </w:r>
    </w:p>
    <w:p>
      <w:pPr>
        <w:pStyle w:val="Compact"/>
        <w:numPr>
          <w:ilvl w:val="0"/>
          <w:numId w:val="1020"/>
        </w:numPr>
      </w:pPr>
      <w:r>
        <w:t xml:space="preserve">ADMIN de teste assegurado no banco (com hash compatível com jBCrypt).</w:t>
      </w:r>
    </w:p>
    <w:p>
      <w:pPr>
        <w:pStyle w:val="Compact"/>
        <w:numPr>
          <w:ilvl w:val="0"/>
          <w:numId w:val="1020"/>
        </w:numPr>
      </w:pPr>
      <w:r>
        <w:t xml:space="preserve">WAR gerado e implantado.</w:t>
      </w:r>
    </w:p>
    <w:p>
      <w:pPr>
        <w:pStyle w:val="Compact"/>
        <w:numPr>
          <w:ilvl w:val="0"/>
          <w:numId w:val="1020"/>
        </w:numPr>
      </w:pPr>
      <w:r>
        <w:t xml:space="preserve">JNDI OK em cada servidor (estático e em runtime, via logs).</w:t>
      </w:r>
    </w:p>
    <w:p>
      <w:pPr>
        <w:pStyle w:val="Compact"/>
        <w:numPr>
          <w:ilvl w:val="0"/>
          <w:numId w:val="1020"/>
        </w:numPr>
      </w:pPr>
      <w:r>
        <w:t xml:space="preserve">Login validado em navegador e HTTP com redirecionamento para</w:t>
      </w:r>
      <w:r>
        <w:t xml:space="preserve"> </w:t>
      </w:r>
      <w:r>
        <w:rPr>
          <w:rStyle w:val="VerbatimChar"/>
        </w:rPr>
        <w:t xml:space="preserve">/dashboard</w:t>
      </w:r>
      <w:r>
        <w:t xml:space="preserve">.</w:t>
      </w:r>
    </w:p>
    <w:bookmarkEnd w:id="27"/>
    <w:bookmarkStart w:id="28" w:name="X33855f2a0d3e26c0d00d7b521497da65813b67b"/>
    <w:p>
      <w:pPr>
        <w:pStyle w:val="Heading3"/>
      </w:pPr>
      <w:r>
        <w:t xml:space="preserve">Uma rotina que evita quedas de produtividade</w:t>
      </w:r>
    </w:p>
    <w:p>
      <w:pPr>
        <w:pStyle w:val="FirstParagraph"/>
      </w:pPr>
      <w:r>
        <w:t xml:space="preserve">Se você já perdeu tempo porque:</w:t>
      </w:r>
    </w:p>
    <w:p>
      <w:pPr>
        <w:pStyle w:val="Compact"/>
        <w:numPr>
          <w:ilvl w:val="0"/>
          <w:numId w:val="1021"/>
        </w:numPr>
      </w:pPr>
      <w:r>
        <w:t xml:space="preserve">o datasource não “bindou” no Tomcat por causa de uma factory errada,</w:t>
      </w:r>
    </w:p>
    <w:p>
      <w:pPr>
        <w:pStyle w:val="Compact"/>
        <w:numPr>
          <w:ilvl w:val="0"/>
          <w:numId w:val="1021"/>
        </w:numPr>
      </w:pPr>
      <w:r>
        <w:t xml:space="preserve">o WildFly subiu com um módulo de driver incompleto,</w:t>
      </w:r>
    </w:p>
    <w:p>
      <w:pPr>
        <w:pStyle w:val="Compact"/>
        <w:numPr>
          <w:ilvl w:val="0"/>
          <w:numId w:val="1021"/>
        </w:numPr>
      </w:pPr>
      <w:r>
        <w:t xml:space="preserve">o WAR foi “implantado” mas a app não respondeu em</w:t>
      </w:r>
      <w:r>
        <w:t xml:space="preserve"> </w:t>
      </w:r>
      <w:r>
        <w:rPr>
          <w:rStyle w:val="VerbatimChar"/>
        </w:rPr>
        <w:t xml:space="preserve">/login</w:t>
      </w:r>
      <w:r>
        <w:t xml:space="preserve">,</w:t>
      </w:r>
    </w:p>
    <w:p>
      <w:pPr>
        <w:pStyle w:val="Compact"/>
        <w:numPr>
          <w:ilvl w:val="0"/>
          <w:numId w:val="1021"/>
        </w:numPr>
      </w:pPr>
      <w:r>
        <w:t xml:space="preserve">ou o hash de senha não bateu por uma sutileza do algoritmo,</w:t>
      </w:r>
    </w:p>
    <w:p>
      <w:pPr>
        <w:pStyle w:val="FirstParagraph"/>
      </w:pPr>
      <w:r>
        <w:t xml:space="preserve">…então sabe a importância de um fluxo que antecipa e resolve esses problemas por você. Nosso script trata esses pontos e loga o suficiente para diagnosticar em minutos.</w:t>
      </w:r>
    </w:p>
    <w:bookmarkEnd w:id="28"/>
    <w:bookmarkStart w:id="29" w:name="o-que-vem-a-seguir"/>
    <w:p>
      <w:pPr>
        <w:pStyle w:val="Heading3"/>
      </w:pPr>
      <w:r>
        <w:t xml:space="preserve">O que vem a seguir</w:t>
      </w:r>
    </w:p>
    <w:p>
      <w:pPr>
        <w:pStyle w:val="Compact"/>
        <w:numPr>
          <w:ilvl w:val="0"/>
          <w:numId w:val="1022"/>
        </w:numPr>
      </w:pPr>
      <w:r>
        <w:t xml:space="preserve">CI leve (GitHub Actions) para rodar a opção 12 em um runner self-hosted de teste.</w:t>
      </w:r>
    </w:p>
    <w:p>
      <w:pPr>
        <w:pStyle w:val="Compact"/>
        <w:numPr>
          <w:ilvl w:val="0"/>
          <w:numId w:val="1022"/>
        </w:numPr>
      </w:pPr>
      <w:r>
        <w:t xml:space="preserve">Parâmetros de ambiente padronizados para ambientes múltiplos (DEV/QA/UAT).</w:t>
      </w:r>
    </w:p>
    <w:p>
      <w:pPr>
        <w:pStyle w:val="Compact"/>
        <w:numPr>
          <w:ilvl w:val="0"/>
          <w:numId w:val="1022"/>
        </w:numPr>
      </w:pPr>
      <w:r>
        <w:t xml:space="preserve">Health endpoints opcionais na app para JNDI/DB, expondo status interpretável.</w:t>
      </w:r>
    </w:p>
    <w:p>
      <w:pPr>
        <w:pStyle w:val="Compact"/>
        <w:numPr>
          <w:ilvl w:val="0"/>
          <w:numId w:val="1022"/>
        </w:numPr>
      </w:pPr>
      <w:r>
        <w:t xml:space="preserve">Empacotamento com Docker para ambientes “clean-room”.</w:t>
      </w:r>
    </w:p>
    <w:p>
      <w:pPr>
        <w:pStyle w:val="Compact"/>
        <w:numPr>
          <w:ilvl w:val="0"/>
          <w:numId w:val="1022"/>
        </w:numPr>
      </w:pPr>
      <w:r>
        <w:t xml:space="preserve">SSL/HTTPS local assistido e testes de conteúdo com Playwright mais ricos.</w:t>
      </w:r>
    </w:p>
    <w:bookmarkEnd w:id="29"/>
    <w:bookmarkStart w:id="30" w:name="principais-aprendizados"/>
    <w:p>
      <w:pPr>
        <w:pStyle w:val="Heading3"/>
      </w:pPr>
      <w:r>
        <w:t xml:space="preserve">Principais aprendizados</w:t>
      </w:r>
    </w:p>
    <w:p>
      <w:pPr>
        <w:pStyle w:val="Compact"/>
        <w:numPr>
          <w:ilvl w:val="0"/>
          <w:numId w:val="1023"/>
        </w:numPr>
      </w:pPr>
      <w:r>
        <w:t xml:space="preserve">Automatizar o “último quilômetro” do deploy local testa muito mais do que o build; testa o que o usuário final realmente vive.</w:t>
      </w:r>
    </w:p>
    <w:p>
      <w:pPr>
        <w:pStyle w:val="Compact"/>
        <w:numPr>
          <w:ilvl w:val="0"/>
          <w:numId w:val="1023"/>
        </w:numPr>
      </w:pPr>
      <w:r>
        <w:t xml:space="preserve">Pequenos detalhes (ex.: prefixo do BCrypt, factory do DBCP no Tomcat) têm impacto desproporcional quando não tratados.</w:t>
      </w:r>
    </w:p>
    <w:p>
      <w:pPr>
        <w:pStyle w:val="Compact"/>
        <w:numPr>
          <w:ilvl w:val="0"/>
          <w:numId w:val="1023"/>
        </w:numPr>
      </w:pPr>
      <w:r>
        <w:t xml:space="preserve">Ferramentas simples e estáveis (Python + requests + Playwright + Maven) são suficientes para orquestrar um setup multiplataforma com excelência.</w:t>
      </w:r>
    </w:p>
    <w:bookmarkEnd w:id="30"/>
    <w:bookmarkStart w:id="31" w:name="agradecimentos-e-convite"/>
    <w:p>
      <w:pPr>
        <w:pStyle w:val="Heading3"/>
      </w:pPr>
      <w:r>
        <w:t xml:space="preserve">Agradecimentos e convite</w:t>
      </w:r>
    </w:p>
    <w:p>
      <w:pPr>
        <w:pStyle w:val="FirstParagraph"/>
      </w:pPr>
      <w:r>
        <w:t xml:space="preserve">Esse trabalho nasce da colaboração entre quem desenvolve, opera e testa. Se este fluxo te inspirou, vamos trocar ideias sobre como levar essa automação para o seu contexto—seja unificando sua esteira de deploy local, suas validações de ambiente ou seus smoke tests.</w:t>
      </w:r>
    </w:p>
    <w:p>
      <w:pPr>
        <w:pStyle w:val="Compact"/>
        <w:numPr>
          <w:ilvl w:val="0"/>
          <w:numId w:val="1024"/>
        </w:numPr>
      </w:pPr>
      <w:r>
        <w:t xml:space="preserve">Quer ver como padronizar JNDI entre Tomcat e WildFly no seu projeto?</w:t>
      </w:r>
    </w:p>
    <w:p>
      <w:pPr>
        <w:pStyle w:val="Compact"/>
        <w:numPr>
          <w:ilvl w:val="0"/>
          <w:numId w:val="1024"/>
        </w:numPr>
      </w:pPr>
      <w:r>
        <w:t xml:space="preserve">Precisa acelerar o “tempo até o primeiro login” do seu time?</w:t>
      </w:r>
    </w:p>
    <w:p>
      <w:pPr>
        <w:pStyle w:val="Compact"/>
        <w:numPr>
          <w:ilvl w:val="0"/>
          <w:numId w:val="1024"/>
        </w:numPr>
      </w:pPr>
      <w:r>
        <w:t xml:space="preserve">Está pensando em transformar esse fluxo em um job de CI?</w:t>
      </w:r>
    </w:p>
    <w:p>
      <w:pPr>
        <w:pStyle w:val="FirstParagraph"/>
      </w:pPr>
      <w:r>
        <w:t xml:space="preserve">Me chame. Adoro falar sobre isso.</w:t>
      </w:r>
    </w:p>
    <w:p>
      <w:pPr>
        <w:pStyle w:val="BodyText"/>
      </w:pPr>
      <w:r>
        <w:t xml:space="preserve">#JakartaEE #Tomcat #WildFly #Java #Python #DevOps #Automation #PostgreSQL #Playwright #DX #DeveloperExperience #E2E #Quality #Testing</w:t>
      </w:r>
    </w:p>
    <w:bookmarkEnd w:id="31"/>
    <w:bookmarkEnd w:id="32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zh-CN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9" Target="media/rId9.png" /><Relationship Type="http://schemas.openxmlformats.org/officeDocument/2006/relationships/image" Id="rId13" Target="media/rId1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2025-09-20T23:47:49Z</dcterms:created>
  <dcterms:modified xsi:type="dcterms:W3CDTF">2025-09-20T23:47:49Z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