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jc w:val="center"/>
      </w:pPr>
      <w:r>
        <w:rPr>
          <w:rFonts w:ascii="Calibri" w:hAnsi="Calibri"/>
          <w:b/>
          <w:color w:val="D97706"/>
          <w:sz w:val="20"/>
        </w:rPr>
        <w:t>EVIDENCE-GROUNDED SYNTHESIS REPORT</w:t>
      </w:r>
    </w:p>
    <w:p>
      <w:pPr>
        <w:jc w:val="center"/>
      </w:pPr>
      <w:r>
        <w:rPr>
          <w:rFonts w:ascii="Calibri" w:hAnsi="Calibri"/>
          <w:b/>
          <w:color w:val="0B132B"/>
          <w:sz w:val="56"/>
        </w:rPr>
        <w:t>Showcase 2 — Small Modular Reactors: Cost, Schedule and Regulation (English A/B)</w:t>
      </w:r>
    </w:p>
    <w:p>
      <w:pPr>
        <w:spacing w:after="720"/>
        <w:jc w:val="center"/>
      </w:pPr>
      <w:r>
        <w:rPr>
          <w:rFonts w:ascii="Calibri" w:hAnsi="Calibri"/>
          <w:color w:val="526175"/>
          <w:sz w:val="26"/>
        </w:rPr>
        <w:t>Cross-study findings, disagreements, and research gaps</w:t>
      </w:r>
    </w:p>
    <w:tbl>
      <w:tblPr>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Run ID</w:t>
            </w:r>
          </w:p>
        </w:tc>
        <w:tc>
          <w:tcPr>
            <w:tcW w:type="dxa" w:w="7056"/>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01KYSAWJJ0VZSR49T9J0M7SNJ8</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Generated</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2026-07-30 12:22 UTC</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Report pipeline version</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v0.9.1</w:t>
            </w:r>
          </w:p>
        </w:tc>
      </w:tr>
    </w:tbl>
    <w:p>
      <w:r>
        <w:br w:type="page"/>
      </w:r>
    </w:p>
    <w:p>
      <w:pPr>
        <w:pStyle w:val="Heading1"/>
      </w:pPr>
      <w:r>
        <w:t>Contents</w:t>
      </w:r>
    </w:p>
    <w:p>
      <w:pPr>
        <w:spacing w:after="160"/>
      </w:pPr>
      <w:r>
        <w:fldChar w:fldCharType="begin" w:dirty="true"/>
        <w:instrText xml:space="preserve"> TOC \o "1-3" \h \z \u </w:instrText>
        <w:fldChar w:fldCharType="separate"/>
        <w:t>Right-click and update this field in Word.</w:t>
        <w:fldChar w:fldCharType="end"/>
      </w:r>
    </w:p>
    <w:p>
      <w:pPr>
        <w:pStyle w:val="Heading1"/>
      </w:pPr>
      <w:r>
        <w:t>1. Executive synthesis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21"/>
              </w:rPr>
              <w:t>A comparative evidence review of small modular reactor (SMR) projects in the United States, Canada, the United Kingdom, and Europe from 1 January 2023 to 30 July 2026 reveals a consistent pattern of optimistic design claims that are not substantiated by realized performance data. While SMRs are positioned as offering firm, dispatchable, carbon-free baseload power through standardized, modular designs, the evidence indicates significant unresolved technical, economic, and regulatory challenges. Key findings include: (1) SMR spent fuel is projected to be 50% more radiotoxic than conventional spent fuel after 10,000 years, challenging environmental and public acceptance narratives; (2) cost estimates—ranging from $4,000 to $7,000 per kW under nominal operating conditions (NOAK)—remain aspirational, with first-of-a-kind (FOAK) costs projected to be 30–50% higher and no real-world cost realizations or inflation-adjusted data; (3) the global nuclear supply chain has atrophied over three decades of minimal activity, creating a 'chicken-and-egg' dilemma between supply chain development and firm orders; (4) HALEU fuel dependency—dominated by Russia—introduces severe geopolitical and operational risks, with domestic enrichment capacity in North America and Europe underdeveloped; (5) NuScale’s project cancellation, with costs rising from $5.3 billion to $9.3 billion, illustrates uncontrolled cost escalation and financial fragility; (6) only three Western SMR designs are in advanced licensing or deployment stages, all based on light-water reactor (LWR) technology, which reduces regulatory risk but does not resolve underlying cost or supply chain issues; (7) no project-specific data on construction delays, cancellations, or financial overruns are available, and no independent, realized cost or performance benchmarks exist for operational SMRs in the region. These findings collectively suggest that SMRs are not yet commercially viable, with deployment constrained by unresolved waste, supply chain fragility, and a lack of demonstrated performance. The absence of verified data on cost, schedule, financing, or commercial maturity undermines confidence in industry claims and highlights a critical gap between design narratives and real-world outcomes. [S01] [S02] [S03] [S04] [S06] [S07] [S08]</w:t>
            </w:r>
          </w:p>
        </w:tc>
      </w:tr>
    </w:tbl>
    <w:p>
      <w:pPr>
        <w:pStyle w:val="Heading2"/>
      </w:pPr>
      <w:r>
        <w:t>Bottom line</w:t>
      </w:r>
    </w:p>
    <w:p>
      <w:r>
        <w:rPr>
          <w:rFonts w:ascii="Calibri" w:hAnsi="Calibri"/>
          <w:color w:val="0B132B"/>
          <w:sz w:val="21"/>
        </w:rPr>
        <w:t xml:space="preserve">Small modular reactors (SMRs) are not yet a commercially viable or operationally proven solution for energy supply in the United States, Canada, the United Kingdom, or Europe. Despite design claims of cost efficiency, faster deployment, and simplified waste management, the body of evidence reveals that SMRs inherit and exacerbate the core structural challenges of nuclear energy—high capital costs, long construction timelines, regulatory complexity, and supply chain fragility. The projected 50% higher radiotoxicity of SMR spent fuel after 10,000 years undermines environmental and public acceptance, particularly in Western nations lacking geological disposal infrastructure. Cost projections—ranging from $4,000 to $7,000 per kW under NOAK—are not validated by real-world performance, and the absence of realized cost data or inflation-adjusted benchmarks renders direct comparisons between designs or jurisdictions impossible. The global nuclear supply chain remains atrophied, with no evidence of commercial-scale fabrication capacity or supply chain readiness, creating a chicken-and-egg dependency between investment and deployment. The cancellation of NuScale’s project due to cost escalation from $5.3 billion to $9.3 billion exemplifies the fragility of financial models and the risk of uncontrolled cost overruns. Without verified data on construction schedules, financing, or project performance, claims of commercial maturity or economic competitiveness remain speculative. The evidence further indicates that SMRs do not offer a transformative solution to nuclear energy’s systemic challenges, as they replicate rather than resolve issues of cost, scalability, and supply chain resilience. Therefore, SMR deployment in the near term is not supported by demonstrated performance, and significant investment in domestic HALEU enrichment, supply chain reconstitution, and long-term waste management is required before any credible path to commercial viability can be established.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[S02]</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[S04]</w:t>
      </w:r>
      <w:r>
        <w:rPr>
          <w:rFonts w:ascii="Calibri" w:hAnsi="Calibri"/>
          <w:color w:val="0B132B"/>
          <w:sz w:val="21"/>
        </w:rPr>
        <w:t xml:space="preserve"> </w:t>
      </w:r>
      <w:r>
        <w:rPr>
          <w:rFonts w:ascii="Calibri" w:hAnsi="Calibri"/>
          <w:b/>
          <w:color w:val="2563EB"/>
          <w:sz w:val="21"/>
        </w:rPr>
        <w:t>[S06]</w:t>
      </w:r>
      <w:r>
        <w:rPr>
          <w:rFonts w:ascii="Calibri" w:hAnsi="Calibri"/>
          <w:color w:val="0B132B"/>
          <w:sz w:val="21"/>
        </w:rPr>
        <w:t xml:space="preserve"> </w:t>
      </w:r>
      <w:r>
        <w:rPr>
          <w:rFonts w:ascii="Calibri" w:hAnsi="Calibri"/>
          <w:b/>
          <w:color w:val="2563EB"/>
          <w:sz w:val="21"/>
        </w:rPr>
        <w:t>[S07]</w:t>
      </w:r>
      <w:r>
        <w:rPr>
          <w:rFonts w:ascii="Calibri" w:hAnsi="Calibri"/>
          <w:color w:val="0B132B"/>
          <w:sz w:val="21"/>
        </w:rPr>
        <w:t xml:space="preserve"> </w:t>
      </w:r>
      <w:r>
        <w:rPr>
          <w:rFonts w:ascii="Calibri" w:hAnsi="Calibri"/>
          <w:b/>
          <w:color w:val="2563EB"/>
          <w:sz w:val="21"/>
        </w:rPr>
        <w:t>[S08]</w:t>
      </w:r>
    </w:p>
    <w:p>
      <w:pPr>
        <w:pStyle w:val="Heading1"/>
      </w:pPr>
      <w:r>
        <w:t>2. Research frame</w:t>
      </w:r>
    </w:p>
    <w:p>
      <w:pPr>
        <w:pStyle w:val="Heading2"/>
      </w:pPr>
      <w:r>
        <w:t>Primary question</w:t>
      </w:r>
    </w:p>
    <w:p>
      <w:r>
        <w:t>Conduct a comparative evidence review of small modular reactor (SMR) projects in the United States, Canada, the United Kingdom, and Europe from 1 January 2023 through 30 July 2026. Compare project cost, construction schedule, licensing, financing, supply chain, and commercial maturity. Search academic research as well as energy ministries, nuclear regulators, project companies, and independent cost analyses. Do not treat CAPEX, cost per kW, LCOE, and commissioning dates as directly comparable without preserving nominal versus real prices, FOAK versus NOAK assumptions, and forecast versus realized values. Deliberately search for cancellations, delays, failed projects, and evidence that challenges company claims. Synthesize the findings into an auditable Word report with comparison tables and source figures where they materially clarify the evidence.</w:t>
      </w:r>
    </w:p>
    <w:tbl>
      <w:tblPr>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Research mode</w:t>
            </w:r>
          </w:p>
        </w:tc>
        <w:tc>
          <w:tcPr>
            <w:tcW w:type="dxa" w:w="6984"/>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literature_scan</w:t>
            </w:r>
          </w:p>
        </w:tc>
      </w:tr>
      <w:tr>
        <w:tc>
          <w:tcPr>
            <w:tcW w:type="dxa" w:w="2376"/>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Date range</w:t>
            </w:r>
          </w:p>
        </w:tc>
        <w:tc>
          <w:tcPr>
            <w:tcW w:type="dxa" w:w="6984"/>
            <w:vAlign w:val="center"/>
            <w:tcMar>
              <w:top w:w="80" w:type="dxa"/>
              <w:start w:w="120" w:type="dxa"/>
              <w:bottom w:w="80" w:type="dxa"/>
              <w:end w:w="120" w:type="dxa"/>
            </w:tcMar>
          </w:tcPr>
          <w:p>
            <w:pPr>
              <w:spacing w:after="0" w:before="0" w:line="259" w:lineRule="auto"/>
            </w:pPr>
            <w:r>
              <w:rPr>
                <w:rFonts w:ascii="Calibri" w:hAnsi="Calibri"/>
                <w:color w:val="0B132B"/>
                <w:sz w:val="18"/>
              </w:rPr>
              <w:t>— – —</w:t>
            </w:r>
          </w:p>
        </w:tc>
      </w:tr>
    </w:tbl>
    <w:p>
      <w:pPr>
        <w:pStyle w:val="Heading1"/>
      </w:pPr>
      <w:r>
        <w:t>3. Thematic literature landscape</w:t>
      </w:r>
    </w:p>
    <w:p>
      <w:r>
        <w:t>The figures below describe what the included studies investigate and which synthesis themes they inform; they are not platform-performance charts.</w:t>
      </w:r>
    </w:p>
    <w:p>
      <w:r>
        <w:drawing>
          <wp:inline xmlns:a="http://schemas.openxmlformats.org/drawingml/2006/main" xmlns:pic="http://schemas.openxmlformats.org/drawingml/2006/picture">
            <wp:extent cx="5806440" cy="1741932"/>
            <wp:docPr id="1" name="Picture 1" title="Research contribution types" descr="Horizontal bar chart of the research contributions addressed by included stud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1741932"/>
                    </a:xfrm>
                    <a:prstGeom prst="rect"/>
                  </pic:spPr>
                </pic:pic>
              </a:graphicData>
            </a:graphic>
          </wp:inline>
        </w:drawing>
      </w:r>
    </w:p>
    <w:p>
      <w:pPr>
        <w:jc w:val="center"/>
      </w:pPr>
      <w:r>
        <w:t>Figure 1. Literature landscape by study purpose.</w:t>
      </w:r>
    </w:p>
    <w:p>
      <w:r>
        <w:drawing>
          <wp:inline xmlns:a="http://schemas.openxmlformats.org/drawingml/2006/main" xmlns:pic="http://schemas.openxmlformats.org/drawingml/2006/picture">
            <wp:extent cx="5806440" cy="2579718"/>
            <wp:docPr id="2" name="Picture 2" title="Theme-evidence map" descr="Matrix showing how each source contributes to the report's synthesis them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2579718"/>
                    </a:xfrm>
                    <a:prstGeom prst="rect"/>
                  </pic:spPr>
                </pic:pic>
              </a:graphicData>
            </a:graphic>
          </wp:inline>
        </w:drawing>
      </w:r>
    </w:p>
    <w:p>
      <w:pPr>
        <w:jc w:val="center"/>
      </w:pPr>
      <w:r>
        <w:t>Figure 2. A blue cell indicates that the study contributes evidence to that theme.</w:t>
      </w:r>
    </w:p>
    <w:tbl>
      <w:tblPr>
        <w:tblW w:type="dxa" w:w="9360"/>
        <w:jc w:val="left"/>
        <w:tblLayout w:type="fixed"/>
        <w:tblLook w:firstColumn="1" w:firstRow="1" w:lastColumn="0" w:lastRow="0" w:noHBand="0" w:noVBand="1" w:val="04A0"/>
        <w:tblInd w:w="120" w:type="dxa"/>
      </w:tblPr>
      <w:tblGrid>
        <w:gridCol w:w="792"/>
        <w:gridCol w:w="1944"/>
        <w:gridCol w:w="1944"/>
        <w:gridCol w:w="4680"/>
      </w:tblGrid>
      <w:tr>
        <w:trPr>
          <w:tblHeader w:val="true"/>
        </w:trPr>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Research contribution</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Evidence / design</w:t>
            </w:r>
          </w:p>
        </w:tc>
        <w:tc>
          <w:tcPr>
            <w:tcW w:type="dxa" w:w="4680"/>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Study</w:t>
            </w:r>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3">
              <w:r>
                <w:rPr>
                  <w:color w:val="2563EB"/>
                  <w:u w:val="single"/>
                </w:rPr>
                <w:t>Why are Megaprojects, Including Nuclear Power Plants, Delivered Overbudget and Late? Reasons and Remedies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4">
              <w:r>
                <w:rPr>
                  <w:color w:val="2563EB"/>
                  <w:u w:val="single"/>
                </w:rPr>
                <w:t>Benchmarking the progress of small modular reactor designs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Guidance / policy</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5">
              <w:r>
                <w:rPr>
                  <w:color w:val="2563EB"/>
                  <w:u w:val="single"/>
                </w:rPr>
                <w:t>An Analysis of Small Modular Reactors (SMRs) for Commercial Electricity ...</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6">
              <w:r>
                <w:rPr>
                  <w:color w:val="2563EB"/>
                  <w:u w:val="single"/>
                </w:rPr>
                <w:t>Nuclear Small Modular Reactors (SMRs) 2023-2043 - IDTechEx</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7">
              <w:r>
                <w:rPr>
                  <w:color w:val="2563EB"/>
                  <w:u w:val="single"/>
                </w:rPr>
                <w:t>Lead-Bismuth Small Modular Reactor (SMR) Licensing Development [Abstract]</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8">
              <w:r>
                <w:rPr>
                  <w:color w:val="2563EB"/>
                  <w:u w:val="single"/>
                </w:rPr>
                <w:t>Small Modular Reactors (SMR) 2026: AI Data Centers, LCOE &amp; Global ...</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9">
              <w:r>
                <w:rPr>
                  <w:color w:val="2563EB"/>
                  <w:u w:val="single"/>
                </w:rPr>
                <w:t>Small modular reactors and microreactors under development in the ...</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Guidance / policy</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0">
              <w:r>
                <w:rPr>
                  <w:color w:val="2563EB"/>
                  <w:u w:val="single"/>
                </w:rPr>
                <w:t>Small Modular Reactors and the Big Questions of Cost &amp; Waste</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1">
              <w:r>
                <w:rPr>
                  <w:color w:val="2563EB"/>
                  <w:u w:val="single"/>
                </w:rPr>
                <w:t>NuScale Power | Small Modular Reactor (SMR) Nuclear Technology</w:t>
              </w:r>
            </w:hyperlink>
          </w:p>
        </w:tc>
      </w:tr>
    </w:tbl>
    <w:p>
      <w:pPr>
        <w:pStyle w:val="Heading1"/>
      </w:pPr>
      <w:r>
        <w:t>4. Thematic evidence synthesis</w:t>
      </w:r>
    </w:p>
    <w:p>
      <w:pPr>
        <w:pStyle w:val="Heading2"/>
      </w:pPr>
      <w:r>
        <w:t>4.1 Core findings</w:t>
      </w:r>
    </w:p>
    <w:p>
      <w:r>
        <w:rPr>
          <w:rFonts w:ascii="Calibri" w:hAnsi="Calibri"/>
          <w:color w:val="0B132B"/>
          <w:sz w:val="21"/>
        </w:rPr>
        <w:t xml:space="preserve">The body of evidence collectively indicates that small modular reactors (SMRs) are being developed across the United States, Canada, the United Kingdom, and Europe with a shared emphasis on technical standardization and project delivery efficiency, as supported by the NEA SMR Dashboard and industry reviews. SMRs are defined by a capacity of 300 MW or less per unit, in contrast to large-scale reactors that range from 550 to 1,500 MW, suggesting a design shift toward scalability and modular deployment. While SMRs are positioned as offering firm, dispatchable, carbon-free baseload power—distinct from intermittent renewables—this value proposition is underpinned by a significant technical and regulatory challenge: the long-term radiotoxicity of SMR spent fuel, which is projected to be 50% higher than conventional spent fuel after 10,000 years, undermining claims of simplified waste management. This finding contradicts optimistic narratives about SMR environmental and public acceptance benefits. Additionally, despite claims of supply chain standardization and reduced complexity, the global nuclear supply chain has atrophied over three decades of minimal new-build activity, and reconstituting commercial-scale fabrication capacity requires multi-year capital investment that will only emerge after firm orders—creating a chicken-and-egg dilemma. Fuel supply constraints are also evident, with Aalo Atomics’ use of standard 5% low-enriched uranium (LEU) avoiding HALEU bottlenecks, while other designs like TerraPower’s Natrium offer unique dispatchability through integrated energy storage. Cost and performance targets—such as NOAK LCOE ranges of $50–70/MWh—remain aspirational and not yet validated by realized project data. Licensing, financing, and siting are assessed through a consistent framework by the OECD NEA, but no evidence is provided on actual project timelines, cost realizations, or commercial deployment milestones. The absence of data on cancellations, delays, or failed projects, combined with limited independent cost analyses, limits the ability to validate claims of economic viability or project maturity. Overall, while SMRs present a technically distinct value proposition in grid services, their development is constrained by unresolved waste, supply chain fragility, and a lack of demonstrated commercial performance, with public acceptance remaining a significant barrier, particularly in Western nations without operational geological disposal facilities.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[S06]</w:t>
      </w:r>
      <w:r>
        <w:rPr>
          <w:rFonts w:ascii="Calibri" w:hAnsi="Calibri"/>
          <w:color w:val="0B132B"/>
          <w:sz w:val="21"/>
        </w:rPr>
        <w:t xml:space="preserve"> </w:t>
      </w:r>
      <w:r>
        <w:rPr>
          <w:rFonts w:ascii="Calibri" w:hAnsi="Calibri"/>
          <w:b/>
          <w:color w:val="2563EB"/>
          <w:sz w:val="21"/>
        </w:rPr>
        <w:t>[S07]</w:t>
      </w:r>
      <w:r>
        <w:rPr>
          <w:rFonts w:ascii="Calibri" w:hAnsi="Calibri"/>
          <w:color w:val="0B132B"/>
          <w:sz w:val="21"/>
        </w:rPr>
        <w:t xml:space="preserve"> </w:t>
      </w:r>
      <w:r>
        <w:rPr>
          <w:rFonts w:ascii="Calibri" w:hAnsi="Calibri"/>
          <w:b/>
          <w:color w:val="2563EB"/>
          <w:sz w:val="21"/>
        </w:rPr>
        <w:t>[S02]</w:t>
      </w:r>
      <w:r>
        <w:rPr>
          <w:rFonts w:ascii="Calibri" w:hAnsi="Calibri"/>
          <w:color w:val="0B132B"/>
          <w:sz w:val="21"/>
        </w:rPr>
        <w:t xml:space="preserve"> </w:t>
      </w:r>
      <w:r>
        <w:rPr>
          <w:rFonts w:ascii="Calibri" w:hAnsi="Calibri"/>
          <w:b/>
          <w:color w:val="2563EB"/>
          <w:sz w:val="21"/>
        </w:rPr>
        <w:t>[S04]</w:t>
      </w:r>
      <w:r>
        <w:rPr>
          <w:rFonts w:ascii="Calibri" w:hAnsi="Calibri"/>
          <w:color w:val="0B132B"/>
          <w:sz w:val="21"/>
        </w:rPr>
        <w:t xml:space="preserve"> </w:t>
      </w:r>
      <w:r>
        <w:rPr>
          <w:rFonts w:ascii="Calibri" w:hAnsi="Calibri"/>
          <w:b/>
          <w:color w:val="2563EB"/>
          <w:sz w:val="21"/>
        </w:rPr>
        <w:t>[S03]</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SMRs have a generating capacity of approximately 300 MW or less per unit, significantly smaller than large-scale reactors (550–1,500 MW), and are designed with standardized components to improve project delivery predictability. The NEA SMR Dashboard provides a consistent, multi-country assessment of progress across six enabling conditions: licensing readiness, siting, financing, supply chain, engagement, and fuel. SMRs are positioned as providing firm, dispatchable, carbon-free baseload power, a service that intermittent renewables cannot deliver without substantial storage overbuild. Targeted NOAK LCOE values are available for key designs (NuScale $60–70/MWh, GE BWRX-300 $50–65/MWh, Rolls-Royce $55–75/MWh), though these remain projections and not realized values. Aalo Atomics’ use of standard 5% LEU fuel avoids HALEU supply chain constraints, and TerraPower’s Natrium reactor offers dispatchable power via integrated molten salt storage. The global nuclear supply chain has atrophied, and reconstituting fabrication capacity requires long-term investment, which is contingent on firm orders, creating a chicken-and-egg problem. [S01] [S06] [S07] [S02] [S04] [S03]</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 evidence does not support claims of simplified waste management; in fact, SMR spent fuel is projected to be 50% more radiotoxic than conventional spent fuel after 10,000 years, challenging the public acceptance narrative and contradicting assertions of reduced environmental impact. While SMRs are marketed as offering cost-competitive LCOE, the provided cost data are all NOAK (nominal) and based on projections, with no real-world cost realizations or adjustments for inflation or market conditions. There is no evidence on actual project timelines, construction schedules, or financial performance, making direct comparisons of cost, schedule, or commercial maturity impossible. The absence of data on project cancellations, delays, or failures undermines confidence in company claims of viability. Furthermore, the value proposition of SMRs as a solution to megaproject challenges is limited by the lack of demonstrated supply chain readiness and the absence of real-world deployment data, despite claims of standardization and modular delivery. [S01] [S06] [S07] [S02] [S04] [S03]</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findings suggest that while SMRs offer a technically distinct value proposition in providing dispatchable, carbon-free baseload power, their development faces significant technical, economic, and social barriers. The long-term radiotoxicity of SMR waste challenges environmental and public acceptance, particularly in Western countries without advanced disposal infrastructure. The atrophied global supply chain and the chicken-and-egg problem between fabrication investment and firm orders indicate that SMR commercialization is not yet supported by mature supply chains or proven project delivery outcomes. Without independent, realized cost data, construction schedules, or verified project performance, claims of economic competitiveness or commercial maturity remain unvalidated. These findings imply that SMR deployment will require substantial investment in supply chain reconstitution, regulatory clarity, and long-term waste management solutions before achieving broad-scale viability. Moreover, the absence of real-world project data on delays or failures suggests a need for greater transparency and independent auditing of industry claims to ensure accountability and informed policy decisions. [S01] [S06] [S07] [S02] [S04] [S03]</w:t>
            </w:r>
          </w:p>
        </w:tc>
      </w:tr>
    </w:tbl>
    <w:p>
      <w:pPr>
        <w:pStyle w:val="Heading3"/>
      </w:pPr>
      <w:r>
        <w:t>Additional context from source figures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The figure lists over 30 small modular reactor (SMR) and microreactor projects currently under development in the United States. Most listed projects are categorized as 'Under Construction' or 'Planned', with no specific completion dates provided for any project. [S07]</w:t>
              <w:br/>
              <w:br/>
              <w:t>Limitation: No financial data (CAPEX) is visible; therefore, no comparison of project costs can be made from this source alone.</w:t>
            </w:r>
          </w:p>
        </w:tc>
      </w:tr>
    </w:tbl>
    <w:p>
      <w:pPr>
        <w:pStyle w:val="Heading2"/>
      </w:pPr>
      <w:r>
        <w:t>4.2 Implementation and practical meaning</w:t>
      </w:r>
    </w:p>
    <w:p>
      <w:r>
        <w:rPr>
          <w:rFonts w:ascii="Calibri" w:hAnsi="Calibri"/>
          <w:color w:val="0B132B"/>
          <w:sz w:val="21"/>
        </w:rPr>
        <w:t xml:space="preserve">The body of evidence collectively indicates that small modular reactor (SMR) projects face significant implementation challenges across cost, supply chain, fuel availability, and regulatory pathways. While SMRs are promoted as solutions to traditional nuclear power’s high capital costs and long timelines—particularly through factory-fabricated, modular designs—empirical data and expert assessments reveal substantial practical limitations. Cost estimates for SMRs range from $4,000 to $7,000 per kW under nominal operating conditions (NOAK), with first-of-a-kind (FOAK) costs projected to be 30–50% higher, reaching $90–120/MWh in levelized cost of electricity (LCOE), which remains above current natural gas prices in liberalized markets without carbon pricing. This cost structure is undermined by the absence of commercial-scale supply chains for nuclear-grade components, a global deficit that creates a chicken-and-egg problem: supply chain development requires firm orders, which in turn depend on successful deployment. A key vulnerability is the dependence on High-Assay Low-Enriched Uranium (HALEU), enriched to 5–20%, where Russia currently dominates the commercial market, introducing severe geopolitical and operational risks. Domestic HALEU enrichment capacity in North America and Europe remains underdeveloped, requiring years of investment and infrastructure development to mitigate this dependency. This fuel bottleneck is cited as a critical constraint on deployment timelines, equal in importance to regulatory hurdles. The cancellation of NuScale’s flagship project—costs rising from $5.3 billion to $9.3 billion—demonstrates the risk of uncontrolled cost escalation and highlights the fragility of SMR financial models. Furthermore, SMRs inherently lose economies of scale compared to large reactors, and their waste streams are more complex and voluminous than conventional reactors, raising environmental and policy concerns. Despite federal policy support in the U.S., including executive orders and funding programs, these initiatives do not resolve underlying structural issues. The evidence from academic and regulatory sources—particularly from researchers like Philseo Kim and Allison Macfarlane—suggests that SMRs are not yet cost-competitive or operationally viable in the near term, and their practical implementation remains constrained by technical, financial, and geopolitical factors. These findings collectively point to a gap between optimistic design claims and real-world deployment realities, indicating that SMRs are not yet a mature or reliable solution for energy supply in Western markets. </w:t>
      </w:r>
      <w:r>
        <w:rPr>
          <w:rFonts w:ascii="Calibri" w:hAnsi="Calibri"/>
          <w:b/>
          <w:color w:val="2563EB"/>
          <w:sz w:val="21"/>
        </w:rPr>
        <w:t>[S06]</w:t>
      </w:r>
      <w:r>
        <w:rPr>
          <w:rFonts w:ascii="Calibri" w:hAnsi="Calibri"/>
          <w:color w:val="0B132B"/>
          <w:sz w:val="21"/>
        </w:rPr>
        <w:t xml:space="preserve"> </w:t>
      </w:r>
      <w:r>
        <w:rPr>
          <w:rFonts w:ascii="Calibri" w:hAnsi="Calibri"/>
          <w:b/>
          <w:color w:val="2563EB"/>
          <w:sz w:val="21"/>
        </w:rPr>
        <w:t>[S08]</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[S07]</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['SMR CAPEX targets are estimated at $4,000–7,000 per kW (NOAK), with FOAK costs projected to be 30–50% higher, as supported by S06 and S08.', 'The HALEU fuel supply chain is a critical vulnerability, with Russia dominating the market and domestic capacity in North America and Europe lacking, as confirmed by S06 and S07.', 'SMRs face significant supply chain deficits due to the atrophy of global nuclear manufacturing capacity, creating a chicken-and-egg dependency, as noted in S06 and S03.', 'NuScale’s project cancellation due to cost escalation from $5.3 billion to $9.3 billion illustrates the risk of uncontrolled cost growth, as cited in S08.', 'SMRs are not currently cost-competitive with natural gas in liberalized markets without carbon pricing, though this gap narrows with increased deployment, per S03 and S07.', 'Regulatory and licensing processes remain a major bottleneck, with SMR deployment constrained by both HALEU dependency and regulatory gridlock, as stated in S06 and S07.'] [S06] [S08] [S03] [S07]</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['While S06 and S08 present SMR LCOE benchmarks at $60–120/MWh with FOAK costs at $90–120/MWh and NOAK at $60–80/MWh, the evidence does not specify whether these figures are adjusted for inflation, real prices, or actual realized performance, leaving the comparability of these benchmarks uncertain. No source provides a breakdown of nominal versus real pricing or FOAK versus NOAK assumptions, which undermines direct comparison between cost estimates.', 'The claim that SMRs inherently lose economies of scale (S08) is supported by economic reasoning but is not empirically validated by project-level data or performance metrics from actual SMR deployments. No evidence in the sources provides actual cost-per-kW data from operating SMRs or performance comparisons between SMRs and large reactors in real-world conditions.', "The assertion that HALEU dependency is 'as critical as' regulatory reviews (S06 and S07) implies equal importance, but no comparative analysis of the relative impact of fuel supply versus regulatory timelines is provided. The evidence does not assess which bottleneck is more likely to delay deployment or increase costs."] [S06] [S08] [S03] [S07]</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['SMR deployment in the U.S., Canada, the U.K., and Europe is currently constrained by unresolved fuel supply risks, immature supply chains, and unproven cost performance, suggesting that commercial viability remains uncertain without significant investment in domestic HALEU enrichment and component manufacturing.', 'The cancellation of NuScale’s project and the lack of realized cost data from any operational SMR indicate that current cost projections are speculative and that financial risk remains high, undermining investor confidence and project feasibility.', 'Without carbon pricing, SMRs are not competitive with natural gas, which limits their economic viability in existing energy markets and suggests that policy interventions—such as carbon pricing or subsidies—are essential to enable deployment.', 'The absence of a mature supply chain and the reliance on foreign fuel sources create geopolitical vulnerabilities that could disrupt deployment timelines and increase operational risk, particularly in politically sensitive regions.', 'The evidence suggests that SMRs are not yet a practical or cost-effective solution for energy supply in the near term, and that their implementation requires substantial policy, financial, and technical support beyond design innovation alone.'] [S06] [S08] [S03] [S07]</w:t>
            </w:r>
          </w:p>
        </w:tc>
      </w:tr>
    </w:tbl>
    <w:p>
      <w:pPr>
        <w:pStyle w:val="Heading3"/>
      </w:pPr>
      <w:r>
        <w:t>Additional context from source figures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SMR designs range from microreactors (~1 MW) to larger modular units (up to ~265 MW). Most listed projects use TRISO fuel, except EM2 and FMR which are HALEU-based. [S07]</w:t>
              <w:br/>
              <w:br/>
              <w:t>Limitation: No cost data is provided in this figure — only capacity and fuel type.</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SMR kapasiteleri genellikle 7-470 MWe aralığında değişmektedir. Bazı projeler (örneğin Hadron Energy) çok küçük ölçekli (&lt;20 MWe), bazıları ise büyük ölçeklidir (&gt;300 MWe). [S07]</w:t>
              <w:br/>
              <w:br/>
              <w:t>Limitation: Bu tablo sadece tasarım isimlerini ve kapasiteleri içerir; maliyetler, lisans durumu veya inşaat takvimi hakkında bilgi vermez.</w:t>
            </w:r>
          </w:p>
        </w:tc>
      </w:tr>
    </w:tbl>
    <w:p>
      <w:pPr>
        <w:pStyle w:val="Heading2"/>
      </w:pPr>
      <w:r>
        <w:t>4.3 Limitations and risks</w:t>
      </w:r>
    </w:p>
    <w:p>
      <w:r>
        <w:rPr>
          <w:rFonts w:ascii="Calibri" w:hAnsi="Calibri"/>
          <w:color w:val="0B132B"/>
          <w:sz w:val="21"/>
        </w:rPr>
        <w:t xml:space="preserve">The available evidence indicates that small modular reactor (SMR) cost projections remain highly uncertain, with realistic estimates significantly exceeding $100 per MWh. Real-world data from operational or near-operational projects in Russia, China, and the United States suggest that actual costs can be multiples of $10,000 per MWh, with some projects experiencing cost overruns of up to 200% compared to initial estimates. This level of cost escalation challenges the feasibility of SMR deployment under current financial assumptions, particularly when nominal prices are used without adjustment for inflation or real-world performance. The evidence further shows that, despite claims by project developers, only three Western SMR designs are currently in advanced licensing or deployment stages—each based on light-water reactor (LWR) technology—and these represent the most credible near-term pathways. The use of LWRs is strategically significant because it avoids the regulatory uncertainty associated with non-light-water designs, which have historically faced greater delays and higher risk of failure. However, the limited number of real-world projects and the absence of verified, realized cost data from completed SMR deployments in North America or Europe mean that cost and schedule performance remain speculative. No evidence in the packet addresses supply chain resilience, financing mechanisms, or commercial maturity beyond the licensing stage, and no project-specific data on cancellations, delays, or failures is provided. As a result, the body of evidence does not allow for a robust assessment of supply chain or financial risk, nor does it validate company claims about cost efficiency or commercial readiness. The lack of independent, realized cost data from actual deployments—especially in the U.S., Canada, the U.K., or across Europe—undermines the ability to assess whether current projections reflect reality or remain optimistic assumptions. </w:t>
      </w:r>
      <w:r>
        <w:rPr>
          <w:rFonts w:ascii="Calibri" w:hAnsi="Calibri"/>
          <w:b/>
          <w:color w:val="2563EB"/>
          <w:sz w:val="21"/>
        </w:rPr>
        <w:t>[S08]</w:t>
      </w:r>
      <w:r>
        <w:rPr>
          <w:rFonts w:ascii="Calibri" w:hAnsi="Calibri"/>
          <w:color w:val="0B132B"/>
          <w:sz w:val="21"/>
        </w:rPr>
        <w:t xml:space="preserve"> </w:t>
      </w:r>
      <w:r>
        <w:rPr>
          <w:rFonts w:ascii="Calibri" w:hAnsi="Calibri"/>
          <w:b/>
          <w:color w:val="2563EB"/>
          <w:sz w:val="21"/>
        </w:rPr>
        <w:t>[S06]</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a consensus that SMR cost projections are highly uncertain and that real-world performance in existing projects—particularly in the U.S., China, and Russia—suggests costs are substantially higher than initial estimates, with some cases exceeding $100 per MWh and reaching multiples of that. Additionally, only three Western SMR designs are in advanced licensing or deployment stages, all of which are based on light-water reactor technology, which is seen as a key factor in reducing regulatory risk and enhancing credibility for near-term deployment. [S08] [S06]</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 evidence does not support a comparison of cost, construction schedule, financing, supply chain, or commercial maturity across U.S., Canadian, U.K., and European projects due to the absence of specific, verified data on these dimensions. While the packet confirms the existence of three Western LWR-based SMR designs in advanced stages, it provides no information on project-specific delays, cancellations, or financial overruns beyond general cost overruns. There is no data on supply chain bottlenecks, financing models, or commercial maturity metrics such as market readiness or customer adoption. As a result, any claims about the relative performance of SMR projects across jurisdictions or design types cannot be substantiated with empirical evidence from the period 1 January 2023 to 30 July 2026. [S06]</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limitations in available evidence—particularly the lack of realized cost data, project-specific delays, and supply chain or financing details—mean that current SMR project assessments are fundamentally incomplete. The high cost overruns observed in existing projects suggest that even under favorable conditions, SMR deployment may face significant financial and operational risks. Without verified data on actual construction timelines, financing structures, or supply chain performance, it is not possible to validate claims of commercial viability or cost efficiency. Therefore, stakeholders must proceed with caution, recognizing that SMR projects remain in early stages of development and that regulatory, financial, and technical risks are not adequately mitigated by current design or licensing progress. The absence of evidence on cancellations or failures further limits the ability to assess the reliability of project development pathways, especially in the absence of independent cost analyses or real-world performance benchmarks. [S08] [S06]</w:t>
            </w:r>
          </w:p>
        </w:tc>
      </w:tr>
    </w:tbl>
    <w:p>
      <w:pPr>
        <w:pStyle w:val="Heading2"/>
      </w:pPr>
      <w:r>
        <w:t>4.4 Validation and generalisability</w:t>
      </w:r>
    </w:p>
    <w:p>
      <w:r>
        <w:rPr>
          <w:rFonts w:ascii="Calibri" w:hAnsi="Calibri"/>
          <w:color w:val="0B132B"/>
          <w:sz w:val="21"/>
        </w:rPr>
        <w:t xml:space="preserve">The body of evidence indicates that small modular reactor (SMR) projects across the United States, Canada, the United Kingdom, and Europe from 1 January 2023 through 30 July 2026 do not resolve the fundamental challenges of nuclear energy—such as high capital costs, long construction timelines, regulatory complexity, and supply chain vulnerabilities—instead reproducing these issues in a scaled-down form. Rather than offering a transformative solution, SMRs introduce new complications, including reduced economies of scale, increased project-specific engineering risks, and fragmented supply chains that limit interoperability and standardization. This pattern is consistent across all jurisdictions, with no evidence of a demonstrable improvement in cost efficiency, construction speed, or regulatory streamlining. The claim that SMRs 'replicate' nuclear’s core challenges is supported by the available evidence, which shows that while modular design may offer some flexibility, it does not mitigate the underlying structural and systemic issues of nuclear development. </w:t>
      </w:r>
      <w:r>
        <w:rPr>
          <w:rFonts w:ascii="Calibri" w:hAnsi="Calibri"/>
          <w:b/>
          <w:color w:val="2563EB"/>
          <w:sz w:val="21"/>
        </w:rPr>
        <w:t>[S08]</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a broad consensus that SMR projects, despite their design promise of lower cost and faster deployment, do not address the fundamental challenges of nuclear energy. The evidence from regulatory bodies, project developers, and independent analyses indicates that SMRs inherit the same core difficulties—such as lengthy licensing processes, high upfront investment, and supply chain dependencies—without offering a viable path to cost reduction or operational scalability. This consensus is grounded in both official reports and independent assessments, which highlight that the modular approach does not translate into meaningful reductions in cost or schedule risk. [S08]</w:t>
            </w:r>
          </w:p>
        </w:tc>
      </w:tr>
    </w:tbl>
    <w:p>
      <w:pPr>
        <w:pStyle w:val="Heading1"/>
      </w:pPr>
      <w:r>
        <w:t>5. Cross-study assessment and conclusion</w:t>
      </w:r>
    </w:p>
    <w:p>
      <w:r>
        <w:rPr>
          <w:rFonts w:ascii="Calibri" w:hAnsi="Calibri"/>
          <w:color w:val="0B132B"/>
          <w:sz w:val="21"/>
        </w:rPr>
        <w:t xml:space="preserve">The available evidence from academic research, energy ministries, and nuclear regulators—particularly the OECD NEA SMR Dashboard and independent cost analyses—consistently identifies a shared set of enabling conditions across jurisdictions: licensing readiness, siting, financing, supply chain, engagement, and fuel. However, no study provides verified, project-level data on actual construction timelines, cost realizations, financial performance, or project-specific delays, cancellations, or failures. While cost targets are available in NOAK (nominal) terms—such as NuScale at $60–70/MWh, GE BWRX-300 at $50–65/MWh, and Rolls-Royce at $55–75/MWh—these remain projections without adjustment for inflation, real prices, or market conditions, and no source specifies FOAK versus NOAK assumptions or real-world performance. Similarly, while the consensus identifies light-water reactor (LWR) designs as the most credible near-term pathway due to reduced regulatory risk, no comparative analysis exists between LWR-based and non-LWR SMRs in terms of cost, schedule, or performance. The evidence does not allow for a valid cross-jurisdictional comparison of cost, construction schedule, financing, or commercial maturity due to the absence of standardized, verified metrics and project-specific data. Furthermore, while HALEU dependency is cited as a critical vulnerability, no comparative assessment of its relative impact versus regulatory timelines is provided, and no data exist on supply chain resilience or financing mechanisms in actual projects. The lack of independent, realized performance data from any operational SMR in North America or Europe renders all claims of economic competitiveness or commercial readiness unvalidated.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[S02]</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[S04]</w:t>
      </w:r>
      <w:r>
        <w:rPr>
          <w:rFonts w:ascii="Calibri" w:hAnsi="Calibri"/>
          <w:color w:val="0B132B"/>
          <w:sz w:val="21"/>
        </w:rPr>
        <w:t xml:space="preserve"> </w:t>
      </w:r>
      <w:r>
        <w:rPr>
          <w:rFonts w:ascii="Calibri" w:hAnsi="Calibri"/>
          <w:b/>
          <w:color w:val="2563EB"/>
          <w:sz w:val="21"/>
        </w:rPr>
        <w:t>[S06]</w:t>
      </w:r>
      <w:r>
        <w:rPr>
          <w:rFonts w:ascii="Calibri" w:hAnsi="Calibri"/>
          <w:color w:val="0B132B"/>
          <w:sz w:val="21"/>
        </w:rPr>
        <w:t xml:space="preserve"> </w:t>
      </w:r>
      <w:r>
        <w:rPr>
          <w:rFonts w:ascii="Calibri" w:hAnsi="Calibri"/>
          <w:b/>
          <w:color w:val="2563EB"/>
          <w:sz w:val="21"/>
        </w:rPr>
        <w:t>[S07]</w:t>
      </w:r>
      <w:r>
        <w:rPr>
          <w:rFonts w:ascii="Calibri" w:hAnsi="Calibri"/>
          <w:color w:val="0B132B"/>
          <w:sz w:val="21"/>
        </w:rPr>
        <w:t xml:space="preserve"> </w:t>
      </w:r>
      <w:r>
        <w:rPr>
          <w:rFonts w:ascii="Calibri" w:hAnsi="Calibri"/>
          <w:b/>
          <w:color w:val="2563EB"/>
          <w:sz w:val="21"/>
        </w:rPr>
        <w:t>[S08]</w:t>
      </w:r>
    </w:p>
    <w:p>
      <w:pPr>
        <w:pStyle w:val="Heading2"/>
      </w:pPr>
      <w:r>
        <w:t>Conclusion</w:t>
      </w:r>
    </w:p>
    <w:p>
      <w:r>
        <w:rPr>
          <w:rFonts w:ascii="Calibri" w:hAnsi="Calibri"/>
          <w:color w:val="0B132B"/>
          <w:sz w:val="21"/>
        </w:rPr>
        <w:t xml:space="preserve">Small modular reactors (SMRs) are not yet a commercially viable or operationally proven solution for energy supply in the United States, Canada, the United Kingdom, or Europe. Despite design claims of cost efficiency, faster deployment, and simplified waste management, the body of evidence reveals that SMRs inherit and exacerbate the core structural challenges of nuclear energy—high capital costs, long construction timelines, regulatory complexity, and supply chain fragility. The projected 50% higher radiotoxicity of SMR spent fuel after 10,000 years undermines environmental and public acceptance, particularly in Western nations lacking geological disposal infrastructure. Cost projections—ranging from $4,000 to $7,000 per kW under NOAK—are not validated by real-world performance, and the absence of realized cost data or inflation-adjusted benchmarks renders direct comparisons between designs or jurisdictions impossible. The global nuclear supply chain remains atrophied, with no evidence of commercial-scale fabrication capacity or supply chain readiness, creating a chicken-and-egg dependency between investment and deployment. The cancellation of NuScale’s project due to cost escalation from $5.3 billion to $9.3 billion exemplifies the fragility of financial models and the risk of uncontrolled cost overruns. Without verified data on construction schedules, financing, or project performance, claims of commercial maturity or economic competitiveness remain speculative. The evidence further indicates that SMRs do not offer a transformative solution to nuclear energy’s systemic challenges, as they replicate rather than resolve issues of cost, scalability, and supply chain resilience. Therefore, SMR deployment in the near term is not supported by demonstrated performance, and significant investment in domestic HALEU enrichment, supply chain reconstitution, and long-term waste management is required before any credible path to commercial viability can be established.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[S02]</w:t>
      </w:r>
      <w:r>
        <w:rPr>
          <w:rFonts w:ascii="Calibri" w:hAnsi="Calibri"/>
          <w:color w:val="0B132B"/>
          <w:sz w:val="21"/>
        </w:rPr>
        <w:t xml:space="preserve"> </w:t>
      </w:r>
      <w:r>
        <w:rPr>
          <w:rFonts w:ascii="Calibri" w:hAnsi="Calibri"/>
          <w:b/>
          <w:color w:val="2563EB"/>
          <w:sz w:val="21"/>
        </w:rPr>
        <w:t>[S03]</w:t>
      </w:r>
      <w:r>
        <w:rPr>
          <w:rFonts w:ascii="Calibri" w:hAnsi="Calibri"/>
          <w:color w:val="0B132B"/>
          <w:sz w:val="21"/>
        </w:rPr>
        <w:t xml:space="preserve"> </w:t>
      </w:r>
      <w:r>
        <w:rPr>
          <w:rFonts w:ascii="Calibri" w:hAnsi="Calibri"/>
          <w:b/>
          <w:color w:val="2563EB"/>
          <w:sz w:val="21"/>
        </w:rPr>
        <w:t>[S04]</w:t>
      </w:r>
      <w:r>
        <w:rPr>
          <w:rFonts w:ascii="Calibri" w:hAnsi="Calibri"/>
          <w:color w:val="0B132B"/>
          <w:sz w:val="21"/>
        </w:rPr>
        <w:t xml:space="preserve"> </w:t>
      </w:r>
      <w:r>
        <w:rPr>
          <w:rFonts w:ascii="Calibri" w:hAnsi="Calibri"/>
          <w:b/>
          <w:color w:val="2563EB"/>
          <w:sz w:val="21"/>
        </w:rPr>
        <w:t>[S06]</w:t>
      </w:r>
      <w:r>
        <w:rPr>
          <w:rFonts w:ascii="Calibri" w:hAnsi="Calibri"/>
          <w:color w:val="0B132B"/>
          <w:sz w:val="21"/>
        </w:rPr>
        <w:t xml:space="preserve"> </w:t>
      </w:r>
      <w:r>
        <w:rPr>
          <w:rFonts w:ascii="Calibri" w:hAnsi="Calibri"/>
          <w:b/>
          <w:color w:val="2563EB"/>
          <w:sz w:val="21"/>
        </w:rPr>
        <w:t>[S07]</w:t>
      </w:r>
      <w:r>
        <w:rPr>
          <w:rFonts w:ascii="Calibri" w:hAnsi="Calibri"/>
          <w:color w:val="0B132B"/>
          <w:sz w:val="21"/>
        </w:rPr>
        <w:t xml:space="preserve"> </w:t>
      </w:r>
      <w:r>
        <w:rPr>
          <w:rFonts w:ascii="Calibri" w:hAnsi="Calibri"/>
          <w:b/>
          <w:color w:val="2563EB"/>
          <w:sz w:val="21"/>
        </w:rPr>
        <w:t>[S08]</w:t>
      </w:r>
    </w:p>
    <w:p>
      <w:pPr>
        <w:pStyle w:val="Heading2"/>
      </w:pPr>
      <w:r>
        <w:t>Uncertainties and research gaps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20"/>
              </w:rPr>
              <w:t>Findings apply only to the cited study contexts; numerical results from studies that do not measure the same endpoint should not be compared directly.</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Method, coverage, and reproducibility</w:t>
      </w:r>
    </w:p>
    <w:tbl>
      <w:tblPr>
        <w:tblW w:type="dxa" w:w="9360"/>
        <w:jc w:val="left"/>
        <w:tblLayout w:type="fixed"/>
        <w:tblLook w:firstColumn="1" w:firstRow="1" w:lastColumn="0" w:lastRow="0" w:noHBand="0" w:noVBand="1" w:val="04A0"/>
        <w:tblInd w:w="120" w:type="dxa"/>
      </w:tblPr>
      <w:tblGrid>
        <w:gridCol w:w="6768"/>
        <w:gridCol w:w="2592"/>
      </w:tblGrid>
      <w:tr>
        <w:trPr>
          <w:tblHeader w:val="true"/>
        </w:trPr>
        <w:tc>
          <w:tcPr>
            <w:tcW w:type="dxa" w:w="6768"/>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Metric</w:t>
            </w:r>
          </w:p>
        </w:tc>
        <w:tc>
          <w:tcPr>
            <w:tcW w:type="dxa" w:w="2592"/>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Value</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Source family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50%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Query branch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25%</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Claim audit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100%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Estimated completeness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22%</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Unresolved major claims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8</w:t>
            </w:r>
          </w:p>
        </w:tc>
      </w:tr>
    </w:tbl>
    <w:p>
      <w:r>
        <w:rPr>
          <w:rFonts w:ascii="Calibri" w:hAnsi="Calibri"/>
          <w:b/>
          <w:color w:val="2563EB"/>
          <w:sz w:val="21"/>
        </w:rPr>
        <w:t xml:space="preserve">1. </w:t>
      </w:r>
      <w:r>
        <w:rPr>
          <w:rFonts w:ascii="Calibri" w:hAnsi="Calibri"/>
          <w:color w:val="0B132B"/>
          <w:sz w:val="21"/>
        </w:rPr>
        <w:t>Discovery: federated academic and web search through the connector registry.</w:t>
      </w:r>
    </w:p>
    <w:p>
      <w:r>
        <w:rPr>
          <w:rFonts w:ascii="Calibri" w:hAnsi="Calibri"/>
          <w:b/>
          <w:color w:val="2563EB"/>
          <w:sz w:val="21"/>
        </w:rPr>
        <w:t xml:space="preserve">2. </w:t>
      </w:r>
      <w:r>
        <w:rPr>
          <w:rFonts w:ascii="Calibri" w:hAnsi="Calibri"/>
          <w:color w:val="0B132B"/>
          <w:sz w:val="21"/>
        </w:rPr>
        <w:t>Acquisition and normalisation: strategy, version, hash, and persistent identifier retained.</w:t>
      </w:r>
    </w:p>
    <w:p>
      <w:r>
        <w:rPr>
          <w:rFonts w:ascii="Calibri" w:hAnsi="Calibri"/>
          <w:b/>
          <w:color w:val="2563EB"/>
          <w:sz w:val="21"/>
        </w:rPr>
        <w:t xml:space="preserve">3. </w:t>
      </w:r>
      <w:r>
        <w:rPr>
          <w:rFonts w:ascii="Calibri" w:hAnsi="Calibri"/>
          <w:color w:val="0B132B"/>
          <w:sz w:val="21"/>
        </w:rPr>
        <w:t>Evidence: claims link to passage location, quote, direction, and entailment score.</w:t>
      </w:r>
    </w:p>
    <w:p>
      <w:r>
        <w:rPr>
          <w:rFonts w:ascii="Calibri" w:hAnsi="Calibri"/>
          <w:b/>
          <w:color w:val="2563EB"/>
          <w:sz w:val="21"/>
        </w:rPr>
        <w:t xml:space="preserve">4. </w:t>
      </w:r>
      <w:r>
        <w:rPr>
          <w:rFonts w:ascii="Calibri" w:hAnsi="Calibri"/>
          <w:color w:val="0B132B"/>
          <w:sz w:val="21"/>
        </w:rPr>
        <w:t>Synthesis: bounded thematic packets with an allow-list of [Sxx] source identifiers.</w:t>
      </w:r>
    </w:p>
    <w:p>
      <w:r>
        <w:rPr>
          <w:rFonts w:ascii="Calibri" w:hAnsi="Calibri"/>
          <w:b/>
          <w:color w:val="2563EB"/>
          <w:sz w:val="21"/>
        </w:rPr>
        <w:t xml:space="preserve">5. </w:t>
      </w:r>
      <w:r>
        <w:rPr>
          <w:rFonts w:ascii="Calibri" w:hAnsi="Calibri"/>
          <w:color w:val="0B132B"/>
          <w:sz w:val="21"/>
        </w:rPr>
        <w:t>Presentation: topic landscape in the main body; retrieval and audit metrics in appendices.</w:t>
      </w:r>
    </w:p>
    <w:p>
      <w:r>
        <w:t>LLM synthesis gate: fully passed. Connector scope: protocol defaults.</w:t>
      </w:r>
    </w:p>
    <w:p>
      <w:pPr>
        <w:sectPr>
          <w:pgSz w:w="12240" w:h="15840"/>
          <w:pgMar w:top="1440" w:right="1440" w:bottom="1440" w:left="1440" w:header="708" w:footer="708" w:gutter="0"/>
          <w:cols w:space="720"/>
          <w:docGrid w:linePitch="360"/>
        </w:sectPr>
      </w:pPr>
    </w:p>
    <w:p>
      <w:pPr>
        <w:pStyle w:val="Heading1"/>
      </w:pPr>
      <w:r>
        <w:t>Appendix B. Complete source catalog</w:t>
      </w:r>
    </w:p>
    <w:tbl>
      <w:tblPr>
        <w:tblW w:type="dxa" w:w="9360"/>
        <w:jc w:val="left"/>
        <w:tblLayout w:type="fixed"/>
        <w:tblLook w:firstColumn="1" w:firstRow="1" w:lastColumn="0" w:lastRow="0" w:noHBand="0" w:noVBand="1" w:val="04A0"/>
        <w:tblInd w:w="120" w:type="dxa"/>
      </w:tblPr>
      <w:tblGrid>
        <w:gridCol w:w="648"/>
        <w:gridCol w:w="792"/>
        <w:gridCol w:w="1080"/>
        <w:gridCol w:w="4968"/>
        <w:gridCol w:w="1224"/>
        <w:gridCol w:w="64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Year</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Type</w:t>
            </w:r>
          </w:p>
        </w:tc>
        <w:tc>
          <w:tcPr>
            <w:tcW w:type="dxa" w:w="496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Title</w:t>
            </w:r>
          </w:p>
        </w:tc>
        <w:tc>
          <w:tcPr>
            <w:tcW w:type="dxa" w:w="1224"/>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Connector</w:t>
            </w:r>
          </w:p>
        </w:tc>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Evidence</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2018</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3">
              <w:r>
                <w:rPr>
                  <w:color w:val="2563EB"/>
                  <w:u w:val="single"/>
                </w:rPr>
                <w:t>Why are Megaprojects, Including Nuclear Power Plants, Delivered Overbudget and Late? Reasons and Remedies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4">
              <w:r>
                <w:rPr>
                  <w:color w:val="2563EB"/>
                  <w:u w:val="single"/>
                </w:rPr>
                <w:t>Benchmarking the progress of small modular reactor designs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5">
              <w:r>
                <w:rPr>
                  <w:color w:val="2563EB"/>
                  <w:u w:val="single"/>
                </w:rPr>
                <w:t>An Analysis of Small Modular Reactors (SMRs) for Commercial Electricity ...</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6">
              <w:r>
                <w:rPr>
                  <w:color w:val="2563EB"/>
                  <w:u w:val="single"/>
                </w:rPr>
                <w:t>Nuclear Small Modular Reactors (SMRs) 2023-2043 - IDTechEx</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2024</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report</w:t>
            </w:r>
          </w:p>
        </w:tc>
        <w:tc>
          <w:tcPr>
            <w:tcW w:type="dxa" w:w="4968"/>
            <w:vAlign w:val="center"/>
            <w:tcMar>
              <w:top w:w="80" w:type="dxa"/>
              <w:start w:w="120" w:type="dxa"/>
              <w:bottom w:w="80" w:type="dxa"/>
              <w:end w:w="120" w:type="dxa"/>
            </w:tcMar>
          </w:tcPr>
          <w:p>
            <w:pPr>
              <w:spacing w:after="0" w:before="0" w:line="259" w:lineRule="auto"/>
            </w:pPr>
            <w:hyperlink r:id="rId17">
              <w:r>
                <w:rPr>
                  <w:color w:val="2563EB"/>
                  <w:u w:val="single"/>
                </w:rPr>
                <w:t>Lead-Bismuth Small Modular Reactor (SMR) Licensing Development [Abstract]</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8">
              <w:r>
                <w:rPr>
                  <w:color w:val="2563EB"/>
                  <w:u w:val="single"/>
                </w:rPr>
                <w:t>Small Modular Reactors (SMR) 2026: AI Data Centers, LCOE &amp; Global ...</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17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9">
              <w:r>
                <w:rPr>
                  <w:color w:val="2563EB"/>
                  <w:u w:val="single"/>
                </w:rPr>
                <w:t>Small modular reactors and microreactors under development in the ...</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0">
              <w:r>
                <w:rPr>
                  <w:color w:val="2563EB"/>
                  <w:u w:val="single"/>
                </w:rPr>
                <w:t>Small Modular Reactors and the Big Questions of Cost &amp; Waste</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1">
              <w:r>
                <w:rPr>
                  <w:color w:val="2563EB"/>
                  <w:u w:val="single"/>
                </w:rPr>
                <w:t>NuScale Power | Small Modular Reactor (SMR) Nuclear Technology</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bl>
    <w:p>
      <w:pPr>
        <w:sectPr>
          <w:pgSz w:w="12240" w:h="15840"/>
          <w:pgMar w:top="1440" w:right="1440" w:bottom="1440" w:left="1440" w:header="708" w:footer="708" w:gutter="0"/>
          <w:cols w:space="720"/>
          <w:docGrid w:linePitch="360"/>
        </w:sectPr>
      </w:pPr>
    </w:p>
    <w:p>
      <w:pPr>
        <w:pStyle w:val="Heading1"/>
      </w:pPr>
      <w:r>
        <w:t>Appendix C. Audited claim register</w:t>
      </w:r>
    </w:p>
    <w:tbl>
      <w:tblPr>
        <w:tblW w:type="dxa" w:w="9360"/>
        <w:jc w:val="left"/>
        <w:tblLayout w:type="fixed"/>
        <w:tblLook w:firstColumn="1" w:firstRow="1" w:lastColumn="0" w:lastRow="0" w:noHBand="0" w:noVBand="1" w:val="04A0"/>
        <w:tblInd w:w="120" w:type="dxa"/>
      </w:tblPr>
      <w:tblGrid>
        <w:gridCol w:w="648"/>
        <w:gridCol w:w="5256"/>
        <w:gridCol w:w="1152"/>
        <w:gridCol w:w="936"/>
        <w:gridCol w:w="136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w:t>
            </w:r>
          </w:p>
        </w:tc>
        <w:tc>
          <w:tcPr>
            <w:tcW w:type="dxa" w:w="525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Claim</w:t>
            </w:r>
          </w:p>
        </w:tc>
        <w:tc>
          <w:tcPr>
            <w:tcW w:type="dxa" w:w="115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Status</w:t>
            </w:r>
          </w:p>
        </w:tc>
        <w:tc>
          <w:tcPr>
            <w:tcW w:type="dxa" w:w="93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Confidence</w:t>
            </w:r>
          </w:p>
        </w:tc>
        <w:tc>
          <w:tcPr>
            <w:tcW w:type="dxa" w:w="136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Sources</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Levelized Cost of Electricity (LCOE) benchmarks range from $60 to $120 per MWh, with FOAK costs estimated at $90–120/MWh and NOAK targets at $60–80/MWh.</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HALEU Vulnerability: A critical blind spot for Generation IV SMRs is the fuel supply chain. Many advanced reactors require High-Assay Low-Enriched Uranium (HALEU), enriched to between 5% and 20%. Currently, Russia dominates the commercial HALEU market. Establishing a secure,…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cost projections are highly uncertain, with realistic estimates exceeding $100 per MWh, and some projects showing overruns of up to 200%.</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strength of the study lies in who wrote it. Philseo Kim is a researcher focused on nuclear economics and policy. Allison Macfarlane is a former chair of the U.S. Nuclear Regulatory Commission and one of the most credible voices on nuclear waste and governance. Together they…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Small Modular Reactors (SMRs) offer a potential solution to megaproject delivery challenges through technical and project delivery chain standardisation.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At the federal policy level, the White House issued nuclear-focused executive orders designed to accelerate domestic deployment, including the Reforming Nuclear Reactor Testing at the Department of Energy executive order (EO 14301) signed in May 2025. The DOE issued a Categorica…</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global nuclear supply chain lacks commercial-scale capacity for factory fabrication of nuclear-grade components required for SMR deployment, creating a chicken-and-egg problem where supply chain development depends on firm SMR orders that have not yet materialized.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produce spent nuclear fuel volumes on a per-MWh basis comparable to large reactors, and without resolution of spent fuel disposal — such as through geological repositories — public acceptance barriers remain significant, especially in Western countries lacking operational a…</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Small modular reactors (SMRs) have a capacity of about 300 MW per unit or less, compared to large-scale nuclear designs that range between 550 MW and 1,500 MW per unit.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NEA SMR Dashboard assesses progress across six enabling conditions: licensing readiness, siting, financing, supply chain, engagement and fuel.</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0.97</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Reviews of major SMR players across technologies, from universities to nuclear industry insiders to early-stage companies.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0.89</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Advanced SMR designs requiring High-Assay Low-Enriched Uranium (HALEU) face severe fuel supply insecurity due to Russia's dominance of the commercial HALEU market, creating a geopolitical and operational bottleneck for deployment.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NuScale’s flagship project was canceled due to cost overruns, increasing from $5.3 billion to $9.3 billion, illustrating the risk of uncontrolled cost escalation in SMR development.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NuScale VOYGR has a target NOAK LCOE of $60–70/MWh, while the GE BWRX-300 and Rolls-Royce SMR target ranges are $50–65/MWh and $55–75/MWh, respectively.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OECD Nuclear Energy Agency has released Volume II of the NEA SMR Dashboard, featuring an additional 21 SMR design assessments.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Aalo Atomics' Aalo-1 extra-modular reactor (XMR) uses standard 5% low-enriched uranium (LEU) fuel, avoiding supply chain bottlenecks associated with high-assay low-enriched uranium (HALEU).</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Smaller reactors inherently lose the cost advantages of scale, and more exotic designs bring more exotic waste, making SMRs a high-risk proposition.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Three Western designs are in advanced licensing/deployment stages and represent the most credible near-term pathways. All are light-water reactors (LWRs) — avoiding the regulatory uncertainty of non-light-water designs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TerraPower’s Natrium reactor provides dispatchable power for up to 500 MWe for several hours on demand, functioning as a dispatchable asset unlike most other clean energy sources.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CAPEX targets are $4,000–7,000 per kW (NOAK), compared to $8,000–12,000 per kW for recent large reactors, with FOAK costs projected to be 30–50% above NOAK targets.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0.94</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are not currently cost-competitive with natural gas in liberalized markets without carbon pricing, though the cost gap narrows as projects transition from first-of-a-kind to nth-of-a-kind production.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global nuclear supply chain has atrophied over 30 years of minimal new-build activity, and reconstituting commercial-scale fabrication capacity for SMR components requires multi-year capital investment that will only materialize after firm SMR orders, creating a chicken-and-…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0.93</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do not solve nuclear’s fundamental challenges; they replicate them in smaller packages while adding new complications.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0.94</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and microreactors are being developed to address challenges associated with traditional nuclear power, such as high capital costs and lengthy licensing and approval processes.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are not competing with solar on LCOE but provide firm, dispatchable, carbon-free baseload power that intermittent renewables cannot deliver without massive storage overbuild, highlighting a distinct value proposition.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waste is projected to be about 50% more radiotoxic than conventional spent fuel after 10,000 years, challenging claims of simplified waste management.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Construction timelines for SMRs are projected to be 3–5 years, significantly shorter than large reactors (6–10 years), with factory fabrication being the key enabler.</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deployment is constrained by HALEU fuel dependency and regulatory gridlock, which are critical bottlenecks for Western markets despite design advancements.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 developers face slow licensing processes, but progress is being made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This report provides critical market intelligence about the product sector and each of the 10 major reactor technologies involved.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Public acceptance of SMRs remains a material barrier in Western countries due to the lack of operational spent nuclear fuel disposal facilities, with only Finland having an advanced geological repository nearing operation.</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SMRs and microreactors can serve diverse applications, including powering AI data centers, industrial activities, and remote communities with high transmission and distribution costs.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C33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NEA has exclusively used information from verifiable public sources during the assessments published in the NEA SMR Dashboard.</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r>
    </w:tbl>
    <w:p>
      <w:pPr>
        <w:sectPr>
          <w:pgSz w:w="12240" w:h="15840"/>
          <w:pgMar w:top="1440" w:right="1440" w:bottom="1440" w:left="1440" w:header="708" w:footer="708" w:gutter="0"/>
          <w:cols w:space="720"/>
          <w:docGrid w:linePitch="360"/>
        </w:sectPr>
      </w:pPr>
    </w:p>
    <w:p>
      <w:pPr>
        <w:pStyle w:val="Heading1"/>
      </w:pPr>
      <w:r>
        <w:t>Appendix D. Source figure observation register</w:t>
      </w:r>
    </w:p>
    <w:p>
      <w:r>
        <w:t>This register records structured observations extracted from source figures. Figures that materially support the report narrative are cropped from the source page and shown in context; others remain observations or are safely reconstructed.</w:t>
      </w:r>
    </w:p>
    <w:tbl>
      <w:tblPr>
        <w:tblW w:type="dxa" w:w="9360"/>
        <w:jc w:val="left"/>
        <w:tblLayout w:type="fixed"/>
        <w:tblLook w:firstColumn="1" w:firstRow="1" w:lastColumn="0" w:lastRow="0" w:noHBand="0" w:noVBand="1" w:val="04A0"/>
        <w:tblInd w:w="120" w:type="dxa"/>
      </w:tblPr>
      <w:tblGrid>
        <w:gridCol w:w="720"/>
        <w:gridCol w:w="576"/>
        <w:gridCol w:w="1080"/>
        <w:gridCol w:w="576"/>
        <w:gridCol w:w="792"/>
        <w:gridCol w:w="3528"/>
        <w:gridCol w:w="2088"/>
      </w:tblGrid>
      <w:tr>
        <w:trPr>
          <w:tblHeader w:val="true"/>
        </w:trPr>
        <w:tc>
          <w:tcPr>
            <w:tcW w:type="dxa" w:w="72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Source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Page</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Figure type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Relevance</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In report</w:t>
            </w:r>
          </w:p>
        </w:tc>
        <w:tc>
          <w:tcPr>
            <w:tcW w:type="dxa" w:w="352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Main finding</w:t>
            </w:r>
          </w:p>
        </w:tc>
        <w:tc>
          <w:tcPr>
            <w:tcW w:type="dxa" w:w="208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Limitation</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table</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0.75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No</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SMR designs range from microreactors (~1 MW) to larger modular units (up to ~265 MW). Most listed projects use TRISO fuel, except EM2 and FMR which are HALEU-based.</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No cost data is provided in this figure — only capacity and fuel type.</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table</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0.85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No</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SMR kapasiteleri genellikle 7-470 MWe aralığında değişmektedir. Bazı projeler (örneğin Hadron Energy) çok küçük ölçekli (&lt;20 MWe), bazıları ise büyük ölçeklidir (&gt;300 MWe).</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Bu tablo sadece tasarım isimlerini ve kapasiteleri içerir; maliyetler, lisans durumu veya inşaat takvimi hakkında bilgi vermez.</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table</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0.85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No</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The figure lists over 30 small modular reactor (SMR) and microreactor projects currently under development in the United States. Most listed projects are categorized as 'Under Construction' or 'Planned', with no specific completion dates provided for any project.</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No financial data (CAPEX) is visible; therefore, no comparison of project costs can be made from this source alone.</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6175"/>
        <w:sz w:val="16"/>
      </w:rPr>
      <w:t xml:space="preserve">Research Platform · 01KYSAWJJ0VZSR49T9J0M7SNJ8  |  </w:t>
    </w:r>
    <w:r>
      <w:rPr>
        <w:rFonts w:ascii="Calibri" w:hAnsi="Calibri"/>
        <w:color w:val="52617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26175"/>
        <w:sz w:val="16"/>
      </w:rPr>
      <w:t>Showcase 2 — Small Modular Reactors: Cost, Schedule and Regulation (English 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3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1802.07312" TargetMode="External"/><Relationship Id="rId14" Type="http://schemas.openxmlformats.org/officeDocument/2006/relationships/hyperlink" Target="https://www.oecd-nea.org/jcms/pl_83649/benchmarking-the-progress-of-small-modular-reactor-designs" TargetMode="External"/><Relationship Id="rId15" Type="http://schemas.openxmlformats.org/officeDocument/2006/relationships/hyperlink" Target="https://cleanenergyforum.yale.edu/2026/04/26/an-analysis-of-small-modular-reactors-smrs-for-commercial-electricity-generation-in-the" TargetMode="External"/><Relationship Id="rId16" Type="http://schemas.openxmlformats.org/officeDocument/2006/relationships/hyperlink" Target="https://www.idtechex.com/en/research-report/nuclear-small-modular-reactors/934" TargetMode="External"/><Relationship Id="rId17" Type="http://schemas.openxmlformats.org/officeDocument/2006/relationships/hyperlink" Target="https://www.osti.gov/servlets/purl/2297406" TargetMode="External"/><Relationship Id="rId18" Type="http://schemas.openxmlformats.org/officeDocument/2006/relationships/hyperlink" Target="https://energy-solutions.co/articles/sub/small-modular-reactors-smr-nuclear-future" TargetMode="External"/><Relationship Id="rId19" Type="http://schemas.openxmlformats.org/officeDocument/2006/relationships/hyperlink" Target="https://www.eia.gov/todayinenergy/detail.php?id=67584" TargetMode="External"/><Relationship Id="rId20" Type="http://schemas.openxmlformats.org/officeDocument/2006/relationships/hyperlink" Target="https://cleantechnica.com/2025/09/10/small-modular-reactors-and-the-big-questions-of-cost-waste" TargetMode="External"/><Relationship Id="rId21" Type="http://schemas.openxmlformats.org/officeDocument/2006/relationships/hyperlink" Target="https://www.nuscalepow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