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2E74B5"/>
          <w:sz w:val="20"/>
        </w:rPr>
        <w:t>PARTICIPATION DECISION BRIEF</w:t>
      </w:r>
    </w:p>
    <w:p>
      <w:pPr>
        <w:spacing w:after="80"/>
      </w:pPr>
      <w:r>
        <w:rPr>
          <w:b/>
          <w:color w:val="17324D"/>
          <w:sz w:val="56"/>
        </w:rPr>
        <w:t>Codex Dirigent</w:t>
      </w:r>
    </w:p>
    <w:p>
      <w:pPr>
        <w:spacing w:after="280"/>
        <w:pBdr>
          <w:bottom w:val="single" w:sz="16" w:space="7" w:color="2E74B5"/>
        </w:pBdr>
      </w:pPr>
      <w:r>
        <w:rPr>
          <w:color w:val="1F4D78"/>
          <w:sz w:val="32"/>
        </w:rPr>
        <w:t>OpenAI Build Week 2026 — Developer Tools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rHeight w:hRule="atLeast"/>
          <w:cantSplit/>
          <w:tblHeader w:val="true"/>
        </w:trPr>
        <w:tc>
          <w:tcPr>
            <w:tcW w:type="dxa" w:w="1900"/>
            <w:shd w:fill="F2F4F7"/>
            <w:vAlign w:val="center"/>
            <w:tcMar>
              <w:top w:w="80" w:type="dxa"/>
              <w:start w:w="120" w:type="dxa"/>
              <w:bottom w:w="80" w:type="dxa"/>
              <w:end w:w="120" w:type="dxa"/>
            </w:tcMar>
          </w:tcPr>
          <w:p>
            <w:pPr>
              <w:jc w:val="left"/>
            </w:pPr>
            <w:r>
              <w:rPr>
                <w:b/>
              </w:rPr>
              <w:t>Assessment</w:t>
            </w:r>
          </w:p>
        </w:tc>
        <w:tc>
          <w:tcPr>
            <w:tcW w:type="dxa" w:w="7460"/>
            <w:vAlign w:val="center"/>
            <w:tcMar>
              <w:top w:w="80" w:type="dxa"/>
              <w:start w:w="120" w:type="dxa"/>
              <w:bottom w:w="80" w:type="dxa"/>
              <w:end w:w="120" w:type="dxa"/>
            </w:tcMar>
          </w:tcPr>
          <w:p>
            <w:pPr>
              <w:jc w:val="left"/>
            </w:pPr>
            <w:r>
              <w:t>GO — conditional on four submission blockers</w:t>
            </w:r>
          </w:p>
        </w:tc>
      </w:tr>
      <w:tr>
        <w:trPr>
          <w:trHeight w:hRule="atLeast"/>
          <w:cantSplit/>
        </w:trPr>
        <w:tc>
          <w:tcPr>
            <w:tcW w:type="dxa" w:w="1900"/>
            <w:shd w:fill="F2F4F7"/>
            <w:vAlign w:val="center"/>
            <w:tcMar>
              <w:top w:w="80" w:type="dxa"/>
              <w:start w:w="120" w:type="dxa"/>
              <w:bottom w:w="80" w:type="dxa"/>
              <w:end w:w="120" w:type="dxa"/>
            </w:tcMar>
          </w:tcPr>
          <w:p>
            <w:pPr>
              <w:jc w:val="left"/>
            </w:pPr>
            <w:r>
              <w:rPr>
                <w:b/>
              </w:rPr>
              <w:t>Deadline</w:t>
            </w:r>
          </w:p>
        </w:tc>
        <w:tc>
          <w:tcPr>
            <w:tcW w:type="dxa" w:w="7460"/>
            <w:vAlign w:val="center"/>
            <w:tcMar>
              <w:top w:w="80" w:type="dxa"/>
              <w:start w:w="120" w:type="dxa"/>
              <w:bottom w:w="80" w:type="dxa"/>
              <w:end w:w="120" w:type="dxa"/>
            </w:tcMar>
          </w:tcPr>
          <w:p>
            <w:pPr>
              <w:jc w:val="left"/>
            </w:pPr>
            <w:r>
              <w:t>21 July 2026, 5:00 PM PDT / 22 July 2026, 02:00 CEST</w:t>
            </w:r>
          </w:p>
        </w:tc>
      </w:tr>
      <w:tr>
        <w:trPr>
          <w:trHeight w:hRule="atLeast"/>
          <w:cantSplit/>
        </w:trPr>
        <w:tc>
          <w:tcPr>
            <w:tcW w:type="dxa" w:w="1900"/>
            <w:shd w:fill="F2F4F7"/>
            <w:vAlign w:val="center"/>
            <w:tcMar>
              <w:top w:w="80" w:type="dxa"/>
              <w:start w:w="120" w:type="dxa"/>
              <w:bottom w:w="80" w:type="dxa"/>
              <w:end w:w="120" w:type="dxa"/>
            </w:tcMar>
          </w:tcPr>
          <w:p>
            <w:pPr>
              <w:jc w:val="left"/>
            </w:pPr>
            <w:r>
              <w:rPr>
                <w:b/>
              </w:rPr>
              <w:t>Prepared</w:t>
            </w:r>
          </w:p>
        </w:tc>
        <w:tc>
          <w:tcPr>
            <w:tcW w:type="dxa" w:w="7460"/>
            <w:vAlign w:val="center"/>
            <w:tcMar>
              <w:top w:w="80" w:type="dxa"/>
              <w:start w:w="120" w:type="dxa"/>
              <w:bottom w:w="80" w:type="dxa"/>
              <w:end w:w="120" w:type="dxa"/>
            </w:tcMar>
          </w:tcPr>
          <w:p>
            <w:pPr>
              <w:jc w:val="left"/>
            </w:pPr>
            <w:r>
              <w:t>20 July 2026, 18:26 CEST · approximately 31.5 hours remaining</w:t>
            </w:r>
          </w:p>
        </w:tc>
      </w:tr>
    </w:tbl>
    <w:p>
      <w:pPr>
        <w:pStyle w:val="Heading1"/>
        <w:keepNext/>
      </w:pPr>
      <w:r>
        <w:t>Executive recommendation</w:t>
      </w:r>
    </w:p>
    <w:tbl>
      <w:tblPr>
        <w:tblStyle w:val="TableGrid"/>
        <w:tblW w:type="dxa" w:w="9360"/>
        <w:jc w:val="center"/>
        <w:tblLayout w:type="fixed"/>
        <w:tblLook w:firstColumn="1" w:firstRow="1" w:lastColumn="0" w:lastRow="0" w:noHBand="0" w:noVBand="1" w:val="04A0"/>
        <w:tblInd w:w="120" w:type="dxa"/>
      </w:tblPr>
      <w:tblGrid>
        <w:gridCol w:w="9360"/>
      </w:tblGrid>
      <w:tr>
        <w:trPr>
          <w:trHeight w:hRule="atLeast"/>
          <w:cantSplit/>
          <w:tblHeader w:val="true"/>
        </w:trPr>
        <w:tc>
          <w:tcPr>
            <w:tcW w:type="dxa" w:w="9360"/>
            <w:vAlign w:val="center"/>
            <w:tcMar>
              <w:top w:w="80" w:type="dxa"/>
              <w:start w:w="120" w:type="dxa"/>
              <w:bottom w:w="80" w:type="dxa"/>
              <w:end w:w="120" w:type="dxa"/>
            </w:tcMar>
            <w:shd w:fill="D9EAD3"/>
          </w:tcPr>
          <w:p>
            <w:pPr>
              <w:spacing w:after="60"/>
              <w:jc w:val="left"/>
            </w:pPr>
            <w:r>
              <w:rPr>
                <w:b/>
                <w:color w:val="17324D"/>
              </w:rPr>
              <w:t>Participate — the product is unusually well aligned with the Developer Tools track.</w:t>
            </w:r>
          </w:p>
          <w:p>
            <w:pPr>
              <w:spacing w:after="0"/>
            </w:pPr>
            <w:r>
              <w:t>Codex Dirigent turns parallel Codex work into a controlled native workflow: queue many cues, isolate each run in a Git worktree, review exact diffs, refine them, and commit or reject explicitly. That story maps directly to agentic workflows, technical implementation, coherent design, and developer impact.</w:t>
            </w:r>
          </w:p>
        </w:tc>
      </w:tr>
    </w:tbl>
    <w:p>
      <w:pPr>
        <w:spacing w:after="0" w:line="60" w:lineRule="exact"/>
      </w:pPr>
      <w:r>
        <w:rPr>
          <w:sz w:val="6"/>
        </w:rPr>
      </w:r>
    </w:p>
    <w:p>
      <w:pPr>
        <w:keepLines w:val="0"/>
        <w:spacing w:after="120"/>
      </w:pPr>
      <w:r>
        <w:t>The implementation is credible and substantial: 23 ordered commits created after the submission window opened, roughly 8,500 lines across Rust source, tests, documentation, and packaging, direct Codex CLI execution, and a tested Git review gate. The strongest pitch is not “another coding assistant”; it is a safe control room for directing several Codex tasks at once without letting them collide.</w:t>
      </w:r>
    </w:p>
    <w:p>
      <w:pPr>
        <w:keepLines w:val="0"/>
        <w:spacing w:after="120"/>
      </w:pPr>
      <w:r>
        <w:t>However, submission eligibility is not yet proven. The repository currently has no configured remote, no distributable judge build, no public demo video, no recorded /feedback session ID, and no repository evidence that GPT-5.6 was selected for a meaningful build task. Those are submission blockers, not optional polish.</w:t>
      </w:r>
    </w:p>
    <w:p>
      <w:pPr>
        <w:pStyle w:val="Heading2"/>
        <w:keepNext/>
      </w:pPr>
      <w:r>
        <w:t>Decision rule</w:t>
      </w:r>
    </w:p>
    <w:p>
      <w:pPr>
        <w:pStyle w:val="ListBullet"/>
        <w:spacing w:after="80"/>
        <w:numPr>
          <w:ilvl w:val="0"/>
          <w:numId w:val="1"/>
        </w:numPr>
      </w:pPr>
      <w:r>
        <w:t>GO if GPT-5.6 evidence, the session ID, a testable macOS build, and the public video are completed before the deadline.</w:t>
      </w:r>
    </w:p>
    <w:p>
      <w:pPr>
        <w:pStyle w:val="ListBullet"/>
        <w:spacing w:after="80"/>
        <w:numPr>
          <w:ilvl w:val="0"/>
          <w:numId w:val="1"/>
        </w:numPr>
      </w:pPr>
      <w:r>
        <w:t>NO-GO only if a test build cannot be made available or GPT-5.6 use cannot be demonstrated honestly. Do not submit a claim that the current history cannot support.</w:t>
      </w:r>
    </w:p>
    <w:p>
      <w:r>
        <w:br w:type="page"/>
      </w:r>
    </w:p>
    <w:p>
      <w:pPr>
        <w:pStyle w:val="Heading1"/>
        <w:keepNext/>
      </w:pPr>
      <w:r>
        <w:t>1. Why Codex Dirigent fits</w:t>
      </w:r>
    </w:p>
    <w:p>
      <w:pPr>
        <w:pStyle w:val="Heading2"/>
        <w:keepNext/>
      </w:pPr>
      <w:r>
        <w:t>Recommended category</w:t>
      </w:r>
    </w:p>
    <w:tbl>
      <w:tblPr>
        <w:tblStyle w:val="TableGrid"/>
        <w:tblW w:type="dxa" w:w="9360"/>
        <w:jc w:val="center"/>
        <w:tblLayout w:type="fixed"/>
        <w:tblLook w:firstColumn="1" w:firstRow="1" w:lastColumn="0" w:lastRow="0" w:noHBand="0" w:noVBand="1" w:val="04A0"/>
        <w:tblInd w:w="120" w:type="dxa"/>
      </w:tblPr>
      <w:tblGrid>
        <w:gridCol w:w="9360"/>
      </w:tblGrid>
      <w:tr>
        <w:trPr>
          <w:trHeight w:hRule="atLeast"/>
          <w:cantSplit/>
          <w:tblHeader w:val="true"/>
        </w:trPr>
        <w:tc>
          <w:tcPr>
            <w:tcW w:type="dxa" w:w="9360"/>
            <w:vAlign w:val="center"/>
            <w:tcMar>
              <w:top w:w="80" w:type="dxa"/>
              <w:start w:w="120" w:type="dxa"/>
              <w:bottom w:w="80" w:type="dxa"/>
              <w:end w:w="120" w:type="dxa"/>
            </w:tcMar>
            <w:shd w:fill="EAF2F8"/>
          </w:tcPr>
          <w:p>
            <w:pPr>
              <w:spacing w:after="60"/>
              <w:jc w:val="left"/>
            </w:pPr>
            <w:r>
              <w:rPr>
                <w:b/>
                <w:color w:val="17324D"/>
              </w:rPr>
              <w:t>Developer Tools</w:t>
            </w:r>
          </w:p>
          <w:p>
            <w:pPr>
              <w:spacing w:after="0"/>
            </w:pPr>
            <w:r>
              <w:t>The challenge explicitly includes agentic workflows, testing, DevOps, and security. Codex Dirigent is a native developer workflow and Codex execution harness, so this category is materially stronger than Work &amp; Productivity.</w:t>
            </w:r>
          </w:p>
        </w:tc>
      </w:tr>
    </w:tbl>
    <w:p>
      <w:pPr>
        <w:spacing w:after="0" w:line="60" w:lineRule="exact"/>
      </w:pPr>
      <w:r>
        <w:rPr>
          <w:sz w:val="6"/>
        </w:rPr>
      </w:r>
    </w:p>
    <w:p>
      <w:pPr>
        <w:pStyle w:val="Heading2"/>
        <w:keepNext/>
      </w:pPr>
      <w:r>
        <w:t>Proposed positioning</w:t>
      </w:r>
    </w:p>
    <w:p>
      <w:pPr>
        <w:keepLines w:val="0"/>
        <w:spacing w:after="120"/>
      </w:pPr>
      <w:r>
        <w:rPr>
          <w:b/>
        </w:rPr>
        <w:t>Tagline:</w:t>
      </w:r>
      <w:r>
        <w:t xml:space="preserve"> A native macOS control room for running parallel Codex coding tasks safely.</w:t>
      </w:r>
    </w:p>
    <w:p>
      <w:pPr>
        <w:keepLines w:val="0"/>
        <w:spacing w:after="120"/>
      </w:pPr>
      <w:r>
        <w:rPr>
          <w:b/>
        </w:rPr>
        <w:t>Problem:</w:t>
      </w:r>
      <w:r>
        <w:t xml:space="preserve"> Running several AI coding tasks creates context switching, workspace collisions, unclear ownership of changes, and pressure to commit before a human has reviewed the exact diff.</w:t>
      </w:r>
    </w:p>
    <w:p>
      <w:pPr>
        <w:keepLines w:val="0"/>
        <w:spacing w:after="120"/>
      </w:pPr>
      <w:r>
        <w:rPr>
          <w:b/>
        </w:rPr>
        <w:t>Solution:</w:t>
      </w:r>
      <w:r>
        <w:t xml:space="preserve"> Codex Dirigent queues repository-, file-, or line-range cues; starts them concurrently in isolated Git worktrees; streams Codex progress; supports follow-up refinement; and permits commit and merge only after explicit acceptance of the exact current diff.</w:t>
      </w:r>
    </w:p>
    <w:p>
      <w:pPr>
        <w:keepLines w:val="0"/>
        <w:spacing w:after="120"/>
      </w:pPr>
      <w:r>
        <w:rPr>
          <w:b/>
        </w:rPr>
        <w:t>Audience:</w:t>
      </w:r>
      <w:r>
        <w:t xml:space="preserve"> Developers who want Codex autonomy without surrendering review, Git hygiene, or control of main.</w:t>
      </w:r>
    </w:p>
    <w:p>
      <w:pPr>
        <w:pStyle w:val="Heading2"/>
        <w:keepNext/>
      </w:pPr>
      <w:r>
        <w:t>Core product flow</w:t>
      </w:r>
    </w:p>
    <w:tbl>
      <w:tblPr>
        <w:tblStyle w:val="TableGrid"/>
        <w:tblW w:type="dxa" w:w="9360"/>
        <w:jc w:val="center"/>
        <w:tblLayout w:type="fixed"/>
        <w:tblLook w:firstColumn="1" w:firstRow="1" w:lastColumn="0" w:lastRow="0" w:noHBand="0" w:noVBand="1" w:val="04A0"/>
        <w:tblInd w:w="120" w:type="dxa"/>
      </w:tblPr>
      <w:tblGrid>
        <w:gridCol w:w="1300"/>
        <w:gridCol w:w="365"/>
        <w:gridCol w:w="1100"/>
        <w:gridCol w:w="365"/>
        <w:gridCol w:w="1500"/>
        <w:gridCol w:w="365"/>
        <w:gridCol w:w="1100"/>
        <w:gridCol w:w="365"/>
        <w:gridCol w:w="2900"/>
      </w:tblGrid>
      <w:tr>
        <w:trPr>
          <w:trHeight w:hRule="atLeast"/>
          <w:cantSplit/>
          <w:tblHeader w:val="true"/>
        </w:trPr>
        <w:tc>
          <w:tcPr>
            <w:tcW w:type="dxa" w:w="1300"/>
            <w:shd w:fill="EAF2F8"/>
            <w:vAlign w:val="center"/>
            <w:tcMar>
              <w:top w:w="80" w:type="dxa"/>
              <w:start w:w="120" w:type="dxa"/>
              <w:bottom w:w="80" w:type="dxa"/>
              <w:end w:w="120" w:type="dxa"/>
            </w:tcMar>
          </w:tcPr>
          <w:p>
            <w:pPr>
              <w:jc w:val="left"/>
            </w:pPr>
            <w:r>
              <w:rPr>
                <w:b/>
              </w:rPr>
              <w:t>INBOX</w:t>
            </w:r>
          </w:p>
        </w:tc>
        <w:tc>
          <w:tcPr>
            <w:tcW w:type="dxa" w:w="365"/>
            <w:vAlign w:val="center"/>
            <w:tcMar>
              <w:top w:w="80" w:type="dxa"/>
              <w:start w:w="120" w:type="dxa"/>
              <w:bottom w:w="80" w:type="dxa"/>
              <w:end w:w="120" w:type="dxa"/>
            </w:tcMar>
          </w:tcPr>
          <w:p>
            <w:pPr>
              <w:jc w:val="left"/>
            </w:pPr>
            <w:r>
              <w:t>→</w:t>
            </w:r>
          </w:p>
        </w:tc>
        <w:tc>
          <w:tcPr>
            <w:tcW w:type="dxa" w:w="1100"/>
            <w:shd w:fill="EAF2F8"/>
            <w:vAlign w:val="center"/>
            <w:tcMar>
              <w:top w:w="80" w:type="dxa"/>
              <w:start w:w="120" w:type="dxa"/>
              <w:bottom w:w="80" w:type="dxa"/>
              <w:end w:w="120" w:type="dxa"/>
            </w:tcMar>
          </w:tcPr>
          <w:p>
            <w:pPr>
              <w:jc w:val="left"/>
            </w:pPr>
            <w:r>
              <w:rPr>
                <w:b/>
              </w:rPr>
              <w:t>RUN</w:t>
            </w:r>
          </w:p>
        </w:tc>
        <w:tc>
          <w:tcPr>
            <w:tcW w:type="dxa" w:w="365"/>
            <w:vAlign w:val="center"/>
            <w:tcMar>
              <w:top w:w="80" w:type="dxa"/>
              <w:start w:w="120" w:type="dxa"/>
              <w:bottom w:w="80" w:type="dxa"/>
              <w:end w:w="120" w:type="dxa"/>
            </w:tcMar>
          </w:tcPr>
          <w:p>
            <w:pPr>
              <w:jc w:val="left"/>
            </w:pPr>
            <w:r>
              <w:t>→</w:t>
            </w:r>
          </w:p>
        </w:tc>
        <w:tc>
          <w:tcPr>
            <w:tcW w:type="dxa" w:w="1500"/>
            <w:shd w:fill="EAF2F8"/>
            <w:vAlign w:val="center"/>
            <w:tcMar>
              <w:top w:w="80" w:type="dxa"/>
              <w:start w:w="120" w:type="dxa"/>
              <w:bottom w:w="80" w:type="dxa"/>
              <w:end w:w="120" w:type="dxa"/>
            </w:tcMar>
          </w:tcPr>
          <w:p>
            <w:pPr>
              <w:jc w:val="left"/>
            </w:pPr>
            <w:r>
              <w:rPr>
                <w:b/>
              </w:rPr>
              <w:t>REVIEW</w:t>
            </w:r>
          </w:p>
        </w:tc>
        <w:tc>
          <w:tcPr>
            <w:tcW w:type="dxa" w:w="365"/>
            <w:vAlign w:val="center"/>
            <w:tcMar>
              <w:top w:w="80" w:type="dxa"/>
              <w:start w:w="120" w:type="dxa"/>
              <w:bottom w:w="80" w:type="dxa"/>
              <w:end w:w="120" w:type="dxa"/>
            </w:tcMar>
          </w:tcPr>
          <w:p>
            <w:pPr>
              <w:jc w:val="left"/>
            </w:pPr>
            <w:r>
              <w:t>→</w:t>
            </w:r>
          </w:p>
        </w:tc>
        <w:tc>
          <w:tcPr>
            <w:tcW w:type="dxa" w:w="1100"/>
            <w:shd w:fill="EAF2F8"/>
            <w:vAlign w:val="center"/>
            <w:tcMar>
              <w:top w:w="80" w:type="dxa"/>
              <w:start w:w="120" w:type="dxa"/>
              <w:bottom w:w="80" w:type="dxa"/>
              <w:end w:w="120" w:type="dxa"/>
            </w:tcMar>
          </w:tcPr>
          <w:p>
            <w:pPr>
              <w:jc w:val="left"/>
            </w:pPr>
            <w:r>
              <w:rPr>
                <w:b/>
              </w:rPr>
              <w:t>DONE</w:t>
            </w:r>
          </w:p>
        </w:tc>
        <w:tc>
          <w:tcPr>
            <w:tcW w:type="dxa" w:w="365"/>
            <w:vAlign w:val="center"/>
            <w:tcMar>
              <w:top w:w="80" w:type="dxa"/>
              <w:start w:w="120" w:type="dxa"/>
              <w:bottom w:w="80" w:type="dxa"/>
              <w:end w:w="120" w:type="dxa"/>
            </w:tcMar>
          </w:tcPr>
          <w:p>
            <w:pPr>
              <w:jc w:val="left"/>
            </w:pPr>
            <w:r>
              <w:t>→</w:t>
            </w:r>
          </w:p>
        </w:tc>
        <w:tc>
          <w:tcPr>
            <w:tcW w:type="dxa" w:w="2900"/>
            <w:shd w:fill="EAF2F8"/>
            <w:vAlign w:val="center"/>
            <w:tcMar>
              <w:top w:w="80" w:type="dxa"/>
              <w:start w:w="120" w:type="dxa"/>
              <w:bottom w:w="80" w:type="dxa"/>
              <w:end w:w="120" w:type="dxa"/>
            </w:tcMar>
          </w:tcPr>
          <w:p>
            <w:pPr>
              <w:jc w:val="left"/>
            </w:pPr>
            <w:r>
              <w:rPr>
                <w:b/>
              </w:rPr>
              <w:t>ARCHIVE</w:t>
            </w:r>
          </w:p>
        </w:tc>
      </w:tr>
    </w:tbl>
    <w:p>
      <w:pPr>
        <w:keepLines w:val="0"/>
        <w:spacing w:after="120"/>
      </w:pPr>
      <w:r>
        <w:t>Each cue receives its own linked worktree only when it starts. Review acceptance fingerprints the displayed diff. Commit happens in the cue worktree; a merge-tree preflight protects a clean main; failed or conflicting merges leave the cue branch recoverable.</w:t>
      </w:r>
    </w:p>
    <w:p>
      <w:pPr>
        <w:pStyle w:val="Heading2"/>
        <w:keepNext/>
      </w:pPr>
      <w:r>
        <w:t>What makes the idea defensible</w:t>
      </w:r>
    </w:p>
    <w:p>
      <w:pPr>
        <w:pStyle w:val="ListBullet"/>
        <w:spacing w:after="80"/>
        <w:numPr>
          <w:ilvl w:val="0"/>
          <w:numId w:val="1"/>
        </w:numPr>
      </w:pPr>
      <w:r>
        <w:t>Codex-only architecture: no provider selector and no generic provider layer; the subprocess model is designed around `codex exec --json`.</w:t>
      </w:r>
    </w:p>
    <w:p>
      <w:pPr>
        <w:pStyle w:val="ListBullet"/>
        <w:spacing w:after="80"/>
        <w:numPr>
          <w:ilvl w:val="0"/>
          <w:numId w:val="1"/>
        </w:numPr>
      </w:pPr>
      <w:r>
        <w:t>Parallelism with isolation: many Inbox cues can start together without sharing a mutable working tree.</w:t>
      </w:r>
    </w:p>
    <w:p>
      <w:pPr>
        <w:pStyle w:val="ListBullet"/>
        <w:spacing w:after="80"/>
        <w:numPr>
          <w:ilvl w:val="0"/>
          <w:numId w:val="1"/>
        </w:numPr>
      </w:pPr>
      <w:r>
        <w:t>Human review as a state-machine invariant: acceptance is bound to the exact diff, not to a vague task result.</w:t>
      </w:r>
    </w:p>
    <w:p>
      <w:pPr>
        <w:pStyle w:val="ListBullet"/>
        <w:spacing w:after="80"/>
        <w:numPr>
          <w:ilvl w:val="0"/>
          <w:numId w:val="1"/>
        </w:numPr>
      </w:pPr>
      <w:r>
        <w:t>Recoverability: started worktrees are rediscovered after restart, and failures do not silently mutate main.</w:t>
      </w:r>
    </w:p>
    <w:p>
      <w:pPr>
        <w:pStyle w:val="ListBullet"/>
        <w:spacing w:after="80"/>
        <w:numPr>
          <w:ilvl w:val="0"/>
          <w:numId w:val="1"/>
        </w:numPr>
      </w:pPr>
      <w:r>
        <w:t>Native, focused experience: Rust application core and UI, read-only browser, foldable file tree and board lanes, one clear review surface.</w:t>
      </w:r>
    </w:p>
    <w:p>
      <w:pPr>
        <w:pStyle w:val="Heading1"/>
        <w:keepNext/>
      </w:pPr>
      <w:r>
        <w:t>2. Submission readiness</w:t>
      </w:r>
    </w:p>
    <w:p>
      <w:pPr>
        <w:keepLines w:val="0"/>
        <w:spacing w:after="120"/>
      </w:pPr>
      <w:r>
        <w:t>The assessment below compares the official requirements with the repository as inspected at commit `3f6ecf4` on 20 July 2026. “Blocker” means the Devpost submission should not be finalized until the action is complete.</w:t>
      </w:r>
    </w:p>
    <w:tbl>
      <w:tblPr>
        <w:tblStyle w:val="TableGrid"/>
        <w:tblW w:type="dxa" w:w="9360"/>
        <w:jc w:val="center"/>
        <w:tblLayout w:type="fixed"/>
        <w:tblLook w:firstColumn="1" w:firstRow="1" w:lastColumn="0" w:lastRow="0" w:noHBand="0" w:noVBand="1" w:val="04A0"/>
        <w:tblInd w:w="120" w:type="dxa"/>
      </w:tblPr>
      <w:tblGrid>
        <w:gridCol w:w="1900"/>
        <w:gridCol w:w="1100"/>
        <w:gridCol w:w="2900"/>
        <w:gridCol w:w="3460"/>
      </w:tblGrid>
      <w:tr>
        <w:trPr>
          <w:trHeight w:hRule="atLeast"/>
          <w:tblHeader w:val="true"/>
          <w:cantSplit/>
        </w:trPr>
        <w:tc>
          <w:tcPr>
            <w:tcW w:type="dxa" w:w="1900"/>
            <w:shd w:fill="F2F4F7"/>
            <w:vAlign w:val="center"/>
            <w:tcMar>
              <w:top w:w="80" w:type="dxa"/>
              <w:start w:w="120" w:type="dxa"/>
              <w:bottom w:w="80" w:type="dxa"/>
              <w:end w:w="120" w:type="dxa"/>
            </w:tcMar>
          </w:tcPr>
          <w:p>
            <w:pPr>
              <w:jc w:val="left"/>
            </w:pPr>
            <w:r>
              <w:rPr>
                <w:b/>
              </w:rPr>
              <w:t>Requirement</w:t>
            </w:r>
          </w:p>
        </w:tc>
        <w:tc>
          <w:tcPr>
            <w:tcW w:type="dxa" w:w="1100"/>
            <w:shd w:fill="F2F4F7"/>
            <w:vAlign w:val="center"/>
            <w:tcMar>
              <w:top w:w="80" w:type="dxa"/>
              <w:start w:w="120" w:type="dxa"/>
              <w:bottom w:w="80" w:type="dxa"/>
              <w:end w:w="120" w:type="dxa"/>
            </w:tcMar>
          </w:tcPr>
          <w:p>
            <w:pPr>
              <w:jc w:val="left"/>
            </w:pPr>
            <w:r>
              <w:rPr>
                <w:b/>
              </w:rPr>
              <w:t>Status</w:t>
            </w:r>
          </w:p>
        </w:tc>
        <w:tc>
          <w:tcPr>
            <w:tcW w:type="dxa" w:w="2900"/>
            <w:shd w:fill="F2F4F7"/>
            <w:vAlign w:val="center"/>
            <w:tcMar>
              <w:top w:w="80" w:type="dxa"/>
              <w:start w:w="120" w:type="dxa"/>
              <w:bottom w:w="80" w:type="dxa"/>
              <w:end w:w="120" w:type="dxa"/>
            </w:tcMar>
          </w:tcPr>
          <w:p>
            <w:pPr>
              <w:jc w:val="left"/>
            </w:pPr>
            <w:r>
              <w:rPr>
                <w:b/>
              </w:rPr>
              <w:t>Evidence now</w:t>
            </w:r>
          </w:p>
        </w:tc>
        <w:tc>
          <w:tcPr>
            <w:tcW w:type="dxa" w:w="3460"/>
            <w:shd w:fill="F2F4F7"/>
            <w:vAlign w:val="center"/>
            <w:tcMar>
              <w:top w:w="80" w:type="dxa"/>
              <w:start w:w="120" w:type="dxa"/>
              <w:bottom w:w="80" w:type="dxa"/>
              <w:end w:w="120" w:type="dxa"/>
            </w:tcMar>
          </w:tcPr>
          <w:p>
            <w:pPr>
              <w:jc w:val="left"/>
            </w:pPr>
            <w:r>
              <w:rPr>
                <w:b/>
              </w:rPr>
              <w:t>Action before submission</w:t>
            </w:r>
          </w:p>
        </w:tc>
      </w:tr>
      <w:tr>
        <w:trPr>
          <w:trHeight w:hRule="atLeast"/>
          <w:cantSplit/>
        </w:trPr>
        <w:tc>
          <w:tcPr>
            <w:tcW w:type="dxa" w:w="1900"/>
            <w:vAlign w:val="center"/>
            <w:tcMar>
              <w:top w:w="80" w:type="dxa"/>
              <w:start w:w="120" w:type="dxa"/>
              <w:bottom w:w="80" w:type="dxa"/>
              <w:end w:w="120" w:type="dxa"/>
            </w:tcMar>
          </w:tcPr>
          <w:p>
            <w:pPr>
              <w:jc w:val="left"/>
            </w:pPr>
            <w:r>
              <w:t>Working, non-trivial project</w:t>
            </w:r>
          </w:p>
        </w:tc>
        <w:tc>
          <w:tcPr>
            <w:tcW w:type="dxa" w:w="1100"/>
            <w:shd w:fill="D9EAD3"/>
            <w:vAlign w:val="center"/>
            <w:tcMar>
              <w:top w:w="80" w:type="dxa"/>
              <w:start w:w="120" w:type="dxa"/>
              <w:bottom w:w="80" w:type="dxa"/>
              <w:end w:w="120" w:type="dxa"/>
            </w:tcMar>
          </w:tcPr>
          <w:p>
            <w:pPr>
              <w:jc w:val="left"/>
            </w:pPr>
            <w:r>
              <w:rPr>
                <w:b/>
              </w:rPr>
              <w:t>READY</w:t>
            </w:r>
          </w:p>
        </w:tc>
        <w:tc>
          <w:tcPr>
            <w:tcW w:type="dxa" w:w="2900"/>
            <w:vAlign w:val="center"/>
            <w:tcMar>
              <w:top w:w="80" w:type="dxa"/>
              <w:start w:w="120" w:type="dxa"/>
              <w:bottom w:w="80" w:type="dxa"/>
              <w:end w:w="120" w:type="dxa"/>
            </w:tcMar>
          </w:tcPr>
          <w:p>
            <w:pPr>
              <w:jc w:val="left"/>
            </w:pPr>
            <w:r>
              <w:t>Native Rust app; 23 commits; local Git, cue board, Codex execution, reviews, commits, worktrees, recovery, tests.</w:t>
            </w:r>
          </w:p>
        </w:tc>
        <w:tc>
          <w:tcPr>
            <w:tcW w:type="dxa" w:w="3460"/>
            <w:vAlign w:val="center"/>
            <w:tcMar>
              <w:top w:w="80" w:type="dxa"/>
              <w:start w:w="120" w:type="dxa"/>
              <w:bottom w:w="80" w:type="dxa"/>
              <w:end w:w="120" w:type="dxa"/>
            </w:tcMar>
          </w:tcPr>
          <w:p>
            <w:pPr>
              <w:jc w:val="left"/>
            </w:pPr>
            <w:r>
              <w:t>Run the full suite once more and record a clean demo path.</w:t>
            </w:r>
          </w:p>
        </w:tc>
      </w:tr>
      <w:tr>
        <w:trPr>
          <w:trHeight w:hRule="atLeast"/>
          <w:cantSplit/>
        </w:trPr>
        <w:tc>
          <w:tcPr>
            <w:tcW w:type="dxa" w:w="1900"/>
            <w:vAlign w:val="center"/>
            <w:tcMar>
              <w:top w:w="80" w:type="dxa"/>
              <w:start w:w="120" w:type="dxa"/>
              <w:bottom w:w="80" w:type="dxa"/>
              <w:end w:w="120" w:type="dxa"/>
            </w:tcMar>
          </w:tcPr>
          <w:p>
            <w:pPr>
              <w:jc w:val="left"/>
            </w:pPr>
            <w:r>
              <w:t>Created during submission period</w:t>
            </w:r>
          </w:p>
        </w:tc>
        <w:tc>
          <w:tcPr>
            <w:tcW w:type="dxa" w:w="1100"/>
            <w:shd w:fill="D9EAD3"/>
            <w:vAlign w:val="center"/>
            <w:tcMar>
              <w:top w:w="80" w:type="dxa"/>
              <w:start w:w="120" w:type="dxa"/>
              <w:bottom w:w="80" w:type="dxa"/>
              <w:end w:w="120" w:type="dxa"/>
            </w:tcMar>
          </w:tcPr>
          <w:p>
            <w:pPr>
              <w:jc w:val="left"/>
            </w:pPr>
            <w:r>
              <w:rPr>
                <w:b/>
              </w:rPr>
              <w:t>READY</w:t>
            </w:r>
          </w:p>
        </w:tc>
        <w:tc>
          <w:tcPr>
            <w:tcW w:type="dxa" w:w="2900"/>
            <w:vAlign w:val="center"/>
            <w:tcMar>
              <w:top w:w="80" w:type="dxa"/>
              <w:start w:w="120" w:type="dxa"/>
              <w:bottom w:w="80" w:type="dxa"/>
              <w:end w:w="120" w:type="dxa"/>
            </w:tcMar>
          </w:tcPr>
          <w:p>
            <w:pPr>
              <w:jc w:val="left"/>
            </w:pPr>
            <w:r>
              <w:t>First commit is 18 July 2026; all target-project commits are after the 13 July start.</w:t>
            </w:r>
          </w:p>
        </w:tc>
        <w:tc>
          <w:tcPr>
            <w:tcW w:type="dxa" w:w="3460"/>
            <w:vAlign w:val="center"/>
            <w:tcMar>
              <w:top w:w="80" w:type="dxa"/>
              <w:start w:w="120" w:type="dxa"/>
              <w:bottom w:w="80" w:type="dxa"/>
              <w:end w:w="120" w:type="dxa"/>
            </w:tcMar>
          </w:tcPr>
          <w:p>
            <w:pPr>
              <w:jc w:val="left"/>
            </w:pPr>
            <w:r>
              <w:t>Keep dated Git history and explain that Dirigent was a read-only behavioral reference.</w:t>
            </w:r>
          </w:p>
        </w:tc>
      </w:tr>
      <w:tr>
        <w:trPr>
          <w:trHeight w:hRule="atLeast"/>
          <w:cantSplit/>
        </w:trPr>
        <w:tc>
          <w:tcPr>
            <w:tcW w:type="dxa" w:w="1900"/>
            <w:vAlign w:val="center"/>
            <w:tcMar>
              <w:top w:w="80" w:type="dxa"/>
              <w:start w:w="120" w:type="dxa"/>
              <w:bottom w:w="80" w:type="dxa"/>
              <w:end w:w="120" w:type="dxa"/>
            </w:tcMar>
          </w:tcPr>
          <w:p>
            <w:pPr>
              <w:jc w:val="left"/>
            </w:pPr>
            <w:r>
              <w:t>Meaningful Codex use</w:t>
            </w:r>
          </w:p>
        </w:tc>
        <w:tc>
          <w:tcPr>
            <w:tcW w:type="dxa" w:w="1100"/>
            <w:shd w:fill="D9EAD3"/>
            <w:vAlign w:val="center"/>
            <w:tcMar>
              <w:top w:w="80" w:type="dxa"/>
              <w:start w:w="120" w:type="dxa"/>
              <w:bottom w:w="80" w:type="dxa"/>
              <w:end w:w="120" w:type="dxa"/>
            </w:tcMar>
          </w:tcPr>
          <w:p>
            <w:pPr>
              <w:jc w:val="left"/>
            </w:pPr>
            <w:r>
              <w:rPr>
                <w:b/>
              </w:rPr>
              <w:t>READY</w:t>
            </w:r>
          </w:p>
        </w:tc>
        <w:tc>
          <w:tcPr>
            <w:tcW w:type="dxa" w:w="2900"/>
            <w:vAlign w:val="center"/>
            <w:tcMar>
              <w:top w:w="80" w:type="dxa"/>
              <w:start w:w="120" w:type="dxa"/>
              <w:bottom w:w="80" w:type="dxa"/>
              <w:end w:w="120" w:type="dxa"/>
            </w:tcMar>
          </w:tcPr>
          <w:p>
            <w:pPr>
              <w:jc w:val="left"/>
            </w:pPr>
            <w:r>
              <w:t>The product directly launches Codex CLI; the repository was developed through Codex sessions.</w:t>
            </w:r>
          </w:p>
        </w:tc>
        <w:tc>
          <w:tcPr>
            <w:tcW w:type="dxa" w:w="3460"/>
            <w:vAlign w:val="center"/>
            <w:tcMar>
              <w:top w:w="80" w:type="dxa"/>
              <w:start w:w="120" w:type="dxa"/>
              <w:bottom w:w="80" w:type="dxa"/>
              <w:end w:w="120" w:type="dxa"/>
            </w:tcMar>
          </w:tcPr>
          <w:p>
            <w:pPr>
              <w:jc w:val="left"/>
            </w:pPr>
            <w:r>
              <w:t>Add an honest README section showing acceleration and human decisions.</w:t>
            </w:r>
          </w:p>
        </w:tc>
      </w:tr>
      <w:tr>
        <w:trPr>
          <w:trHeight w:hRule="atLeast"/>
          <w:cantSplit/>
        </w:trPr>
        <w:tc>
          <w:tcPr>
            <w:tcW w:type="dxa" w:w="1900"/>
            <w:vAlign w:val="center"/>
            <w:tcMar>
              <w:top w:w="80" w:type="dxa"/>
              <w:start w:w="120" w:type="dxa"/>
              <w:bottom w:w="80" w:type="dxa"/>
              <w:end w:w="120" w:type="dxa"/>
            </w:tcMar>
          </w:tcPr>
          <w:p>
            <w:pPr>
              <w:jc w:val="left"/>
            </w:pPr>
            <w:r>
              <w:t>Meaningful GPT-5.6 use</w:t>
            </w:r>
          </w:p>
        </w:tc>
        <w:tc>
          <w:tcPr>
            <w:tcW w:type="dxa" w:w="1100"/>
            <w:shd w:fill="F4CCCC"/>
            <w:vAlign w:val="center"/>
            <w:tcMar>
              <w:top w:w="80" w:type="dxa"/>
              <w:start w:w="120" w:type="dxa"/>
              <w:bottom w:w="80" w:type="dxa"/>
              <w:end w:w="120" w:type="dxa"/>
            </w:tcMar>
          </w:tcPr>
          <w:p>
            <w:pPr>
              <w:jc w:val="left"/>
            </w:pPr>
            <w:r>
              <w:rPr>
                <w:b/>
              </w:rPr>
              <w:t>BLOCKER</w:t>
            </w:r>
          </w:p>
        </w:tc>
        <w:tc>
          <w:tcPr>
            <w:tcW w:type="dxa" w:w="2900"/>
            <w:vAlign w:val="center"/>
            <w:tcMar>
              <w:top w:w="80" w:type="dxa"/>
              <w:start w:w="120" w:type="dxa"/>
              <w:bottom w:w="80" w:type="dxa"/>
              <w:end w:w="120" w:type="dxa"/>
            </w:tcMar>
          </w:tcPr>
          <w:p>
            <w:pPr>
              <w:jc w:val="left"/>
            </w:pPr>
            <w:r>
              <w:t>Settings support a model override, but the default is blank and the repository contains no GPT-5.6 build evidence.</w:t>
            </w:r>
          </w:p>
        </w:tc>
        <w:tc>
          <w:tcPr>
            <w:tcW w:type="dxa" w:w="3460"/>
            <w:vAlign w:val="center"/>
            <w:tcMar>
              <w:top w:w="80" w:type="dxa"/>
              <w:start w:w="120" w:type="dxa"/>
              <w:bottom w:w="80" w:type="dxa"/>
              <w:end w:w="120" w:type="dxa"/>
            </w:tcMar>
          </w:tcPr>
          <w:p>
            <w:pPr>
              <w:jc w:val="left"/>
            </w:pPr>
            <w:r>
              <w:t>Select `gpt-5.6`; run a meaningful final cue; preserve output/session evidence and describe its contribution.</w:t>
            </w:r>
          </w:p>
        </w:tc>
      </w:tr>
      <w:tr>
        <w:trPr>
          <w:trHeight w:hRule="atLeast"/>
          <w:cantSplit/>
        </w:trPr>
        <w:tc>
          <w:tcPr>
            <w:tcW w:type="dxa" w:w="1900"/>
            <w:vAlign w:val="center"/>
            <w:tcMar>
              <w:top w:w="80" w:type="dxa"/>
              <w:start w:w="120" w:type="dxa"/>
              <w:bottom w:w="80" w:type="dxa"/>
              <w:end w:w="120" w:type="dxa"/>
            </w:tcMar>
          </w:tcPr>
          <w:p>
            <w:pPr>
              <w:jc w:val="left"/>
            </w:pPr>
            <w:r>
              <w:t>/feedback session ID</w:t>
            </w:r>
          </w:p>
        </w:tc>
        <w:tc>
          <w:tcPr>
            <w:tcW w:type="dxa" w:w="1100"/>
            <w:shd w:fill="F4CCCC"/>
            <w:vAlign w:val="center"/>
            <w:tcMar>
              <w:top w:w="80" w:type="dxa"/>
              <w:start w:w="120" w:type="dxa"/>
              <w:bottom w:w="80" w:type="dxa"/>
              <w:end w:w="120" w:type="dxa"/>
            </w:tcMar>
          </w:tcPr>
          <w:p>
            <w:pPr>
              <w:jc w:val="left"/>
            </w:pPr>
            <w:r>
              <w:rPr>
                <w:b/>
              </w:rPr>
              <w:t>BLOCKER</w:t>
            </w:r>
          </w:p>
        </w:tc>
        <w:tc>
          <w:tcPr>
            <w:tcW w:type="dxa" w:w="2900"/>
            <w:vAlign w:val="center"/>
            <w:tcMar>
              <w:top w:w="80" w:type="dxa"/>
              <w:start w:w="120" w:type="dxa"/>
              <w:bottom w:w="80" w:type="dxa"/>
              <w:end w:w="120" w:type="dxa"/>
            </w:tcMar>
          </w:tcPr>
          <w:p>
            <w:pPr>
              <w:jc w:val="left"/>
            </w:pPr>
            <w:r>
              <w:t>No session ID is recorded in the repository or submission materials.</w:t>
            </w:r>
          </w:p>
        </w:tc>
        <w:tc>
          <w:tcPr>
            <w:tcW w:type="dxa" w:w="3460"/>
            <w:vAlign w:val="center"/>
            <w:tcMar>
              <w:top w:w="80" w:type="dxa"/>
              <w:start w:w="120" w:type="dxa"/>
              <w:bottom w:w="80" w:type="dxa"/>
              <w:end w:w="120" w:type="dxa"/>
            </w:tcMar>
          </w:tcPr>
          <w:p>
            <w:pPr>
              <w:jc w:val="left"/>
            </w:pPr>
            <w:r>
              <w:t>Use `/feedback` in the primary build thread and save the returned ID.</w:t>
            </w:r>
          </w:p>
        </w:tc>
      </w:tr>
      <w:tr>
        <w:trPr>
          <w:trHeight w:hRule="atLeast"/>
          <w:cantSplit/>
        </w:trPr>
        <w:tc>
          <w:tcPr>
            <w:tcW w:type="dxa" w:w="1900"/>
            <w:vAlign w:val="center"/>
            <w:tcMar>
              <w:top w:w="80" w:type="dxa"/>
              <w:start w:w="120" w:type="dxa"/>
              <w:bottom w:w="80" w:type="dxa"/>
              <w:end w:w="120" w:type="dxa"/>
            </w:tcMar>
          </w:tcPr>
          <w:p>
            <w:pPr>
              <w:jc w:val="left"/>
            </w:pPr>
            <w:r>
              <w:t>&lt;3-minute public YouTube demo</w:t>
            </w:r>
          </w:p>
        </w:tc>
        <w:tc>
          <w:tcPr>
            <w:tcW w:type="dxa" w:w="1100"/>
            <w:shd w:fill="F4CCCC"/>
            <w:vAlign w:val="center"/>
            <w:tcMar>
              <w:top w:w="80" w:type="dxa"/>
              <w:start w:w="120" w:type="dxa"/>
              <w:bottom w:w="80" w:type="dxa"/>
              <w:end w:w="120" w:type="dxa"/>
            </w:tcMar>
          </w:tcPr>
          <w:p>
            <w:pPr>
              <w:jc w:val="left"/>
            </w:pPr>
            <w:r>
              <w:rPr>
                <w:b/>
              </w:rPr>
              <w:t>BLOCKER</w:t>
            </w:r>
          </w:p>
        </w:tc>
        <w:tc>
          <w:tcPr>
            <w:tcW w:type="dxa" w:w="2900"/>
            <w:vAlign w:val="center"/>
            <w:tcMar>
              <w:top w:w="80" w:type="dxa"/>
              <w:start w:w="120" w:type="dxa"/>
              <w:bottom w:w="80" w:type="dxa"/>
              <w:end w:w="120" w:type="dxa"/>
            </w:tcMar>
          </w:tcPr>
          <w:p>
            <w:pPr>
              <w:jc w:val="left"/>
            </w:pPr>
            <w:r>
              <w:t>No demo video or URL exists.</w:t>
            </w:r>
          </w:p>
        </w:tc>
        <w:tc>
          <w:tcPr>
            <w:tcW w:type="dxa" w:w="3460"/>
            <w:vAlign w:val="center"/>
            <w:tcMar>
              <w:top w:w="80" w:type="dxa"/>
              <w:start w:w="120" w:type="dxa"/>
              <w:bottom w:w="80" w:type="dxa"/>
              <w:end w:w="120" w:type="dxa"/>
            </w:tcMar>
          </w:tcPr>
          <w:p>
            <w:pPr>
              <w:jc w:val="left"/>
            </w:pPr>
            <w:r>
              <w:t>Record the scripted 2:50 demo with audio explaining both Codex and GPT-5.6.</w:t>
            </w:r>
          </w:p>
        </w:tc>
      </w:tr>
      <w:tr>
        <w:trPr>
          <w:trHeight w:hRule="atLeast"/>
          <w:cantSplit/>
        </w:trPr>
        <w:tc>
          <w:tcPr>
            <w:tcW w:type="dxa" w:w="1900"/>
            <w:vAlign w:val="center"/>
            <w:tcMar>
              <w:top w:w="80" w:type="dxa"/>
              <w:start w:w="120" w:type="dxa"/>
              <w:bottom w:w="80" w:type="dxa"/>
              <w:end w:w="120" w:type="dxa"/>
            </w:tcMar>
          </w:tcPr>
          <w:p>
            <w:pPr>
              <w:jc w:val="left"/>
            </w:pPr>
            <w:r>
              <w:t>Repository URL and judge access</w:t>
            </w:r>
          </w:p>
        </w:tc>
        <w:tc>
          <w:tcPr>
            <w:tcW w:type="dxa" w:w="1100"/>
            <w:shd w:fill="F4CCCC"/>
            <w:vAlign w:val="center"/>
            <w:tcMar>
              <w:top w:w="80" w:type="dxa"/>
              <w:start w:w="120" w:type="dxa"/>
              <w:bottom w:w="80" w:type="dxa"/>
              <w:end w:w="120" w:type="dxa"/>
            </w:tcMar>
          </w:tcPr>
          <w:p>
            <w:pPr>
              <w:jc w:val="left"/>
            </w:pPr>
            <w:r>
              <w:rPr>
                <w:b/>
              </w:rPr>
              <w:t>BLOCKER</w:t>
            </w:r>
          </w:p>
        </w:tc>
        <w:tc>
          <w:tcPr>
            <w:tcW w:type="dxa" w:w="2900"/>
            <w:vAlign w:val="center"/>
            <w:tcMar>
              <w:top w:w="80" w:type="dxa"/>
              <w:start w:w="120" w:type="dxa"/>
              <w:bottom w:w="80" w:type="dxa"/>
              <w:end w:w="120" w:type="dxa"/>
            </w:tcMar>
          </w:tcPr>
          <w:p>
            <w:pPr>
              <w:jc w:val="left"/>
            </w:pPr>
            <w:r>
              <w:t>`git remote -v` returns no configured remote.</w:t>
            </w:r>
          </w:p>
        </w:tc>
        <w:tc>
          <w:tcPr>
            <w:tcW w:type="dxa" w:w="3460"/>
            <w:vAlign w:val="center"/>
            <w:tcMar>
              <w:top w:w="80" w:type="dxa"/>
              <w:start w:w="120" w:type="dxa"/>
              <w:bottom w:w="80" w:type="dxa"/>
              <w:end w:w="120" w:type="dxa"/>
            </w:tcMar>
          </w:tcPr>
          <w:p>
            <w:pPr>
              <w:jc w:val="left"/>
            </w:pPr>
            <w:r>
              <w:t>Create a public MIT repository, or share a private repository with both required judge emails.</w:t>
            </w:r>
          </w:p>
        </w:tc>
      </w:tr>
      <w:tr>
        <w:trPr>
          <w:trHeight w:hRule="atLeast"/>
          <w:cantSplit/>
        </w:trPr>
        <w:tc>
          <w:tcPr>
            <w:tcW w:type="dxa" w:w="1900"/>
            <w:vAlign w:val="center"/>
            <w:tcMar>
              <w:top w:w="80" w:type="dxa"/>
              <w:start w:w="120" w:type="dxa"/>
              <w:bottom w:w="80" w:type="dxa"/>
              <w:end w:w="120" w:type="dxa"/>
            </w:tcMar>
          </w:tcPr>
          <w:p>
            <w:pPr>
              <w:jc w:val="left"/>
            </w:pPr>
            <w:r>
              <w:t>Test without rebuilding</w:t>
            </w:r>
          </w:p>
        </w:tc>
        <w:tc>
          <w:tcPr>
            <w:tcW w:type="dxa" w:w="1100"/>
            <w:shd w:fill="F4CCCC"/>
            <w:vAlign w:val="center"/>
            <w:tcMar>
              <w:top w:w="80" w:type="dxa"/>
              <w:start w:w="120" w:type="dxa"/>
              <w:bottom w:w="80" w:type="dxa"/>
              <w:end w:w="120" w:type="dxa"/>
            </w:tcMar>
          </w:tcPr>
          <w:p>
            <w:pPr>
              <w:jc w:val="left"/>
            </w:pPr>
            <w:r>
              <w:rPr>
                <w:b/>
              </w:rPr>
              <w:t>BLOCKER</w:t>
            </w:r>
          </w:p>
        </w:tc>
        <w:tc>
          <w:tcPr>
            <w:tcW w:type="dxa" w:w="2900"/>
            <w:vAlign w:val="center"/>
            <w:tcMar>
              <w:top w:w="80" w:type="dxa"/>
              <w:start w:w="120" w:type="dxa"/>
              <w:bottom w:w="80" w:type="dxa"/>
              <w:end w:w="120" w:type="dxa"/>
            </w:tcMar>
          </w:tcPr>
          <w:p>
            <w:pPr>
              <w:jc w:val="left"/>
            </w:pPr>
            <w:r>
              <w:t>Bundle script exists, but no signed/notarized or downloadable build is published.</w:t>
            </w:r>
          </w:p>
        </w:tc>
        <w:tc>
          <w:tcPr>
            <w:tcW w:type="dxa" w:w="3460"/>
            <w:vAlign w:val="center"/>
            <w:tcMar>
              <w:top w:w="80" w:type="dxa"/>
              <w:start w:w="120" w:type="dxa"/>
              <w:bottom w:w="80" w:type="dxa"/>
              <w:end w:w="120" w:type="dxa"/>
            </w:tcMar>
          </w:tcPr>
          <w:p>
            <w:pPr>
              <w:jc w:val="left"/>
            </w:pPr>
            <w:r>
              <w:t>Attach a tested `.app` ZIP to a release with exact Gatekeeper/open instructions; keep access free through judging.</w:t>
            </w:r>
          </w:p>
        </w:tc>
      </w:tr>
      <w:tr>
        <w:trPr>
          <w:trHeight w:hRule="atLeast"/>
          <w:cantSplit/>
        </w:trPr>
        <w:tc>
          <w:tcPr>
            <w:tcW w:type="dxa" w:w="1900"/>
            <w:vAlign w:val="center"/>
            <w:tcMar>
              <w:top w:w="80" w:type="dxa"/>
              <w:start w:w="120" w:type="dxa"/>
              <w:bottom w:w="80" w:type="dxa"/>
              <w:end w:w="120" w:type="dxa"/>
            </w:tcMar>
          </w:tcPr>
          <w:p>
            <w:pPr>
              <w:jc w:val="left"/>
            </w:pPr>
            <w:r>
              <w:t>README setup and collaboration narrative</w:t>
            </w:r>
          </w:p>
        </w:tc>
        <w:tc>
          <w:tcPr>
            <w:tcW w:type="dxa" w:w="1100"/>
            <w:shd w:fill="FFF2CC"/>
            <w:vAlign w:val="center"/>
            <w:tcMar>
              <w:top w:w="80" w:type="dxa"/>
              <w:start w:w="120" w:type="dxa"/>
              <w:bottom w:w="80" w:type="dxa"/>
              <w:end w:w="120" w:type="dxa"/>
            </w:tcMar>
          </w:tcPr>
          <w:p>
            <w:pPr>
              <w:jc w:val="left"/>
            </w:pPr>
            <w:r>
              <w:rPr>
                <w:b/>
              </w:rPr>
              <w:t>PARTIAL</w:t>
            </w:r>
          </w:p>
        </w:tc>
        <w:tc>
          <w:tcPr>
            <w:tcW w:type="dxa" w:w="2900"/>
            <w:vAlign w:val="center"/>
            <w:tcMar>
              <w:top w:w="80" w:type="dxa"/>
              <w:start w:w="120" w:type="dxa"/>
              <w:bottom w:w="80" w:type="dxa"/>
              <w:end w:w="120" w:type="dxa"/>
            </w:tcMar>
          </w:tcPr>
          <w:p>
            <w:pPr>
              <w:jc w:val="left"/>
            </w:pPr>
            <w:r>
              <w:t>Setup, workflow, limitations, and packaging are clear; Build Week/Codex collaboration evidence is missing.</w:t>
            </w:r>
          </w:p>
        </w:tc>
        <w:tc>
          <w:tcPr>
            <w:tcW w:type="dxa" w:w="3460"/>
            <w:vAlign w:val="center"/>
            <w:tcMar>
              <w:top w:w="80" w:type="dxa"/>
              <w:start w:w="120" w:type="dxa"/>
              <w:bottom w:w="80" w:type="dxa"/>
              <w:end w:w="120" w:type="dxa"/>
            </w:tcMar>
          </w:tcPr>
          <w:p>
            <w:pPr>
              <w:jc w:val="left"/>
            </w:pPr>
            <w:r>
              <w:t>Add a concise hackathon section, GPT-5.6 evidence, supported hardware, install steps, and test scenario.</w:t>
            </w:r>
          </w:p>
        </w:tc>
      </w:tr>
      <w:tr>
        <w:trPr>
          <w:trHeight w:hRule="atLeast"/>
          <w:cantSplit/>
        </w:trPr>
        <w:tc>
          <w:tcPr>
            <w:tcW w:type="dxa" w:w="1900"/>
            <w:vAlign w:val="center"/>
            <w:tcMar>
              <w:top w:w="80" w:type="dxa"/>
              <w:start w:w="120" w:type="dxa"/>
              <w:bottom w:w="80" w:type="dxa"/>
              <w:end w:w="120" w:type="dxa"/>
            </w:tcMar>
          </w:tcPr>
          <w:p>
            <w:pPr>
              <w:jc w:val="left"/>
            </w:pPr>
            <w:r>
              <w:t>English, license, third-party compliance</w:t>
            </w:r>
          </w:p>
        </w:tc>
        <w:tc>
          <w:tcPr>
            <w:tcW w:type="dxa" w:w="1100"/>
            <w:shd w:fill="D9EAD3"/>
            <w:vAlign w:val="center"/>
            <w:tcMar>
              <w:top w:w="80" w:type="dxa"/>
              <w:start w:w="120" w:type="dxa"/>
              <w:bottom w:w="80" w:type="dxa"/>
              <w:end w:w="120" w:type="dxa"/>
            </w:tcMar>
          </w:tcPr>
          <w:p>
            <w:pPr>
              <w:jc w:val="left"/>
            </w:pPr>
            <w:r>
              <w:rPr>
                <w:b/>
              </w:rPr>
              <w:t>READY</w:t>
            </w:r>
          </w:p>
        </w:tc>
        <w:tc>
          <w:tcPr>
            <w:tcW w:type="dxa" w:w="2900"/>
            <w:vAlign w:val="center"/>
            <w:tcMar>
              <w:top w:w="80" w:type="dxa"/>
              <w:start w:w="120" w:type="dxa"/>
              <w:bottom w:w="80" w:type="dxa"/>
              <w:end w:w="120" w:type="dxa"/>
            </w:tcMar>
          </w:tcPr>
          <w:p>
            <w:pPr>
              <w:jc w:val="left"/>
            </w:pPr>
            <w:r>
              <w:t>Materials are English; MIT license present; Cargo dependencies are explicit.</w:t>
            </w:r>
          </w:p>
        </w:tc>
        <w:tc>
          <w:tcPr>
            <w:tcW w:type="dxa" w:w="3460"/>
            <w:vAlign w:val="center"/>
            <w:tcMar>
              <w:top w:w="80" w:type="dxa"/>
              <w:start w:w="120" w:type="dxa"/>
              <w:bottom w:w="80" w:type="dxa"/>
              <w:end w:w="120" w:type="dxa"/>
            </w:tcMar>
          </w:tcPr>
          <w:p>
            <w:pPr>
              <w:jc w:val="left"/>
            </w:pPr>
            <w:r>
              <w:t>Confirm icon/artwork ownership and avoid unlicensed music or marks in the video.</w:t>
            </w:r>
          </w:p>
        </w:tc>
      </w:tr>
    </w:tbl>
    <w:p>
      <w:pPr>
        <w:pStyle w:val="Heading2"/>
        <w:keepNext/>
      </w:pPr>
      <w:r>
        <w:t>Eligibility note</w:t>
      </w:r>
    </w:p>
    <w:p>
      <w:pPr>
        <w:keepLines w:val="0"/>
        <w:spacing w:after="120"/>
      </w:pPr>
      <w:r>
        <w:t>Germany appears in the event’s eligible-country list. Final eligibility still depends on the entrant meeting the official age, residency, conflict-of-interest, and other rules. This brief is an engineering/submission assessment, not legal advice.</w:t>
      </w:r>
    </w:p>
    <w:p>
      <w:pPr>
        <w:pStyle w:val="Heading1"/>
        <w:keepNext/>
      </w:pPr>
      <w:r>
        <w:t>3. How to win the judging conversation</w:t>
      </w:r>
    </w:p>
    <w:p>
      <w:pPr>
        <w:keepLines w:val="0"/>
        <w:spacing w:after="120"/>
      </w:pPr>
      <w:r>
        <w:t>The four criteria are equally weighted. The submission should show one integrated story rather than a feature inventory.</w:t>
      </w:r>
    </w:p>
    <w:tbl>
      <w:tblPr>
        <w:tblStyle w:val="TableGrid"/>
        <w:tblW w:type="dxa" w:w="9360"/>
        <w:jc w:val="center"/>
        <w:tblLayout w:type="fixed"/>
        <w:tblLook w:firstColumn="1" w:firstRow="1" w:lastColumn="0" w:lastRow="0" w:noHBand="0" w:noVBand="1" w:val="04A0"/>
        <w:tblInd w:w="120" w:type="dxa"/>
      </w:tblPr>
      <w:tblGrid>
        <w:gridCol w:w="1900"/>
        <w:gridCol w:w="4100"/>
        <w:gridCol w:w="3360"/>
      </w:tblGrid>
      <w:tr>
        <w:trPr>
          <w:trHeight w:hRule="atLeast"/>
          <w:tblHeader w:val="true"/>
          <w:cantSplit/>
        </w:trPr>
        <w:tc>
          <w:tcPr>
            <w:tcW w:type="dxa" w:w="1900"/>
            <w:shd w:fill="F2F4F7"/>
            <w:vAlign w:val="center"/>
            <w:tcMar>
              <w:top w:w="80" w:type="dxa"/>
              <w:start w:w="120" w:type="dxa"/>
              <w:bottom w:w="80" w:type="dxa"/>
              <w:end w:w="120" w:type="dxa"/>
            </w:tcMar>
          </w:tcPr>
          <w:p>
            <w:pPr>
              <w:jc w:val="left"/>
            </w:pPr>
            <w:r>
              <w:rPr>
                <w:b/>
              </w:rPr>
              <w:t>Criterion</w:t>
            </w:r>
          </w:p>
        </w:tc>
        <w:tc>
          <w:tcPr>
            <w:tcW w:type="dxa" w:w="4100"/>
            <w:shd w:fill="F2F4F7"/>
            <w:vAlign w:val="center"/>
            <w:tcMar>
              <w:top w:w="80" w:type="dxa"/>
              <w:start w:w="120" w:type="dxa"/>
              <w:bottom w:w="80" w:type="dxa"/>
              <w:end w:w="120" w:type="dxa"/>
            </w:tcMar>
          </w:tcPr>
          <w:p>
            <w:pPr>
              <w:jc w:val="left"/>
            </w:pPr>
            <w:r>
              <w:rPr>
                <w:b/>
              </w:rPr>
              <w:t>Evidence to demonstrate</w:t>
            </w:r>
          </w:p>
        </w:tc>
        <w:tc>
          <w:tcPr>
            <w:tcW w:type="dxa" w:w="3360"/>
            <w:shd w:fill="F2F4F7"/>
            <w:vAlign w:val="center"/>
            <w:tcMar>
              <w:top w:w="80" w:type="dxa"/>
              <w:start w:w="120" w:type="dxa"/>
              <w:bottom w:w="80" w:type="dxa"/>
              <w:end w:w="120" w:type="dxa"/>
            </w:tcMar>
          </w:tcPr>
          <w:p>
            <w:pPr>
              <w:jc w:val="left"/>
            </w:pPr>
            <w:r>
              <w:rPr>
                <w:b/>
              </w:rPr>
              <w:t>Demo/message</w:t>
            </w:r>
          </w:p>
        </w:tc>
      </w:tr>
      <w:tr>
        <w:trPr>
          <w:trHeight w:hRule="atLeast"/>
          <w:cantSplit/>
        </w:trPr>
        <w:tc>
          <w:tcPr>
            <w:tcW w:type="dxa" w:w="1900"/>
            <w:vAlign w:val="center"/>
            <w:tcMar>
              <w:top w:w="80" w:type="dxa"/>
              <w:start w:w="120" w:type="dxa"/>
              <w:bottom w:w="80" w:type="dxa"/>
              <w:end w:w="120" w:type="dxa"/>
            </w:tcMar>
          </w:tcPr>
          <w:p>
            <w:pPr>
              <w:jc w:val="left"/>
            </w:pPr>
            <w:r>
              <w:t>Technological implementation</w:t>
            </w:r>
          </w:p>
        </w:tc>
        <w:tc>
          <w:tcPr>
            <w:tcW w:type="dxa" w:w="4100"/>
            <w:vAlign w:val="center"/>
            <w:tcMar>
              <w:top w:w="80" w:type="dxa"/>
              <w:start w:w="120" w:type="dxa"/>
              <w:bottom w:w="80" w:type="dxa"/>
              <w:end w:w="120" w:type="dxa"/>
            </w:tcMar>
          </w:tcPr>
          <w:p>
            <w:pPr>
              <w:jc w:val="left"/>
            </w:pPr>
            <w:r>
              <w:t>Direct JSON event stream; cancellation; validated arguments; per-cue worktrees; exact-diff fingerprint; merge-tree preflight; stale-run protection; restart recovery.</w:t>
            </w:r>
          </w:p>
        </w:tc>
        <w:tc>
          <w:tcPr>
            <w:tcW w:type="dxa" w:w="3360"/>
            <w:vAlign w:val="center"/>
            <w:tcMar>
              <w:top w:w="80" w:type="dxa"/>
              <w:start w:w="120" w:type="dxa"/>
              <w:bottom w:w="80" w:type="dxa"/>
              <w:end w:w="120" w:type="dxa"/>
            </w:tcMar>
          </w:tcPr>
          <w:p>
            <w:pPr>
              <w:jc w:val="left"/>
            </w:pPr>
            <w:r>
              <w:t>Show two cues running concurrently, then explain the isolation and review invariant in one sentence.</w:t>
            </w:r>
          </w:p>
        </w:tc>
      </w:tr>
      <w:tr>
        <w:trPr>
          <w:trHeight w:hRule="atLeast"/>
          <w:cantSplit/>
        </w:trPr>
        <w:tc>
          <w:tcPr>
            <w:tcW w:type="dxa" w:w="1900"/>
            <w:vAlign w:val="center"/>
            <w:tcMar>
              <w:top w:w="80" w:type="dxa"/>
              <w:start w:w="120" w:type="dxa"/>
              <w:bottom w:w="80" w:type="dxa"/>
              <w:end w:w="120" w:type="dxa"/>
            </w:tcMar>
          </w:tcPr>
          <w:p>
            <w:pPr>
              <w:jc w:val="left"/>
            </w:pPr>
            <w:r>
              <w:t>Design</w:t>
            </w:r>
          </w:p>
        </w:tc>
        <w:tc>
          <w:tcPr>
            <w:tcW w:type="dxa" w:w="4100"/>
            <w:vAlign w:val="center"/>
            <w:tcMar>
              <w:top w:w="80" w:type="dxa"/>
              <w:start w:w="120" w:type="dxa"/>
              <w:bottom w:w="80" w:type="dxa"/>
              <w:end w:w="120" w:type="dxa"/>
            </w:tcMar>
          </w:tcPr>
          <w:p>
            <w:pPr>
              <w:jc w:val="left"/>
            </w:pPr>
            <w:r>
              <w:t>Native macOS navigation; read-only browser; foldable file tree and lanes; focused review screen; explicit destructive confirmations; light/dark styling.</w:t>
            </w:r>
          </w:p>
        </w:tc>
        <w:tc>
          <w:tcPr>
            <w:tcW w:type="dxa" w:w="3360"/>
            <w:vAlign w:val="center"/>
            <w:tcMar>
              <w:top w:w="80" w:type="dxa"/>
              <w:start w:w="120" w:type="dxa"/>
              <w:bottom w:w="80" w:type="dxa"/>
              <w:end w:w="120" w:type="dxa"/>
            </w:tcMar>
          </w:tcPr>
          <w:p>
            <w:pPr>
              <w:jc w:val="left"/>
            </w:pPr>
            <w:r>
              <w:t>Use one clean repository, readable zoom, and a rehearsed route with no settings detour.</w:t>
            </w:r>
          </w:p>
        </w:tc>
      </w:tr>
      <w:tr>
        <w:trPr>
          <w:trHeight w:hRule="atLeast"/>
          <w:cantSplit/>
        </w:trPr>
        <w:tc>
          <w:tcPr>
            <w:tcW w:type="dxa" w:w="1900"/>
            <w:vAlign w:val="center"/>
            <w:tcMar>
              <w:top w:w="80" w:type="dxa"/>
              <w:start w:w="120" w:type="dxa"/>
              <w:bottom w:w="80" w:type="dxa"/>
              <w:end w:w="120" w:type="dxa"/>
            </w:tcMar>
          </w:tcPr>
          <w:p>
            <w:pPr>
              <w:jc w:val="left"/>
            </w:pPr>
            <w:r>
              <w:t>Potential impact</w:t>
            </w:r>
          </w:p>
        </w:tc>
        <w:tc>
          <w:tcPr>
            <w:tcW w:type="dxa" w:w="4100"/>
            <w:vAlign w:val="center"/>
            <w:tcMar>
              <w:top w:w="80" w:type="dxa"/>
              <w:start w:w="120" w:type="dxa"/>
              <w:bottom w:w="80" w:type="dxa"/>
              <w:end w:w="120" w:type="dxa"/>
            </w:tcMar>
          </w:tcPr>
          <w:p>
            <w:pPr>
              <w:jc w:val="left"/>
            </w:pPr>
            <w:r>
              <w:t>Removes worktree mechanics and context switching while preserving human control of commits and main.</w:t>
            </w:r>
          </w:p>
        </w:tc>
        <w:tc>
          <w:tcPr>
            <w:tcW w:type="dxa" w:w="3360"/>
            <w:vAlign w:val="center"/>
            <w:tcMar>
              <w:top w:w="80" w:type="dxa"/>
              <w:start w:w="120" w:type="dxa"/>
              <w:bottom w:w="80" w:type="dxa"/>
              <w:end w:w="120" w:type="dxa"/>
            </w:tcMar>
          </w:tcPr>
          <w:p>
            <w:pPr>
              <w:jc w:val="left"/>
            </w:pPr>
            <w:r>
              <w:t>Frame the user as a developer who needs three small changes today—not a hypothetical enterprise platform.</w:t>
            </w:r>
          </w:p>
        </w:tc>
      </w:tr>
      <w:tr>
        <w:trPr>
          <w:trHeight w:hRule="atLeast"/>
          <w:cantSplit/>
        </w:trPr>
        <w:tc>
          <w:tcPr>
            <w:tcW w:type="dxa" w:w="1900"/>
            <w:vAlign w:val="center"/>
            <w:tcMar>
              <w:top w:w="80" w:type="dxa"/>
              <w:start w:w="120" w:type="dxa"/>
              <w:bottom w:w="80" w:type="dxa"/>
              <w:end w:w="120" w:type="dxa"/>
            </w:tcMar>
          </w:tcPr>
          <w:p>
            <w:pPr>
              <w:jc w:val="left"/>
            </w:pPr>
            <w:r>
              <w:t>Quality of idea</w:t>
            </w:r>
          </w:p>
        </w:tc>
        <w:tc>
          <w:tcPr>
            <w:tcW w:type="dxa" w:w="4100"/>
            <w:vAlign w:val="center"/>
            <w:tcMar>
              <w:top w:w="80" w:type="dxa"/>
              <w:start w:w="120" w:type="dxa"/>
              <w:bottom w:w="80" w:type="dxa"/>
              <w:end w:w="120" w:type="dxa"/>
            </w:tcMar>
          </w:tcPr>
          <w:p>
            <w:pPr>
              <w:jc w:val="left"/>
            </w:pPr>
            <w:r>
              <w:t>Combines an orchestration inbox with Git-native isolation and an approval token tied to the exact diff.</w:t>
            </w:r>
          </w:p>
        </w:tc>
        <w:tc>
          <w:tcPr>
            <w:tcW w:type="dxa" w:w="3360"/>
            <w:vAlign w:val="center"/>
            <w:tcMar>
              <w:top w:w="80" w:type="dxa"/>
              <w:start w:w="120" w:type="dxa"/>
              <w:bottom w:w="80" w:type="dxa"/>
              <w:end w:w="120" w:type="dxa"/>
            </w:tcMar>
          </w:tcPr>
          <w:p>
            <w:pPr>
              <w:jc w:val="left"/>
            </w:pPr>
            <w:r>
              <w:t>Say: “Parallel coding agents are easy; parallel coding agents you can safely review and merge are the real product.”</w:t>
            </w:r>
          </w:p>
        </w:tc>
      </w:tr>
    </w:tbl>
    <w:p>
      <w:pPr>
        <w:pStyle w:val="Heading2"/>
        <w:keepNext/>
      </w:pPr>
      <w:r>
        <w:t>Recommended product proof</w:t>
      </w:r>
    </w:p>
    <w:p>
      <w:pPr>
        <w:pStyle w:val="ListNumber"/>
        <w:spacing w:after="80"/>
        <w:numPr>
          <w:ilvl w:val="0"/>
          <w:numId w:val="5"/>
        </w:numPr>
      </w:pPr>
      <w:r>
        <w:t>Open a small local Git repository and expand the file tree. Select a file to establish native browsing and context.</w:t>
      </w:r>
    </w:p>
    <w:p>
      <w:pPr>
        <w:pStyle w:val="ListNumber"/>
        <w:spacing w:after="80"/>
        <w:numPr>
          <w:ilvl w:val="0"/>
          <w:numId w:val="5"/>
        </w:numPr>
      </w:pPr>
      <w:r>
        <w:t>Add two different cues to Inbox—one line-range cue and one repository-level cue.</w:t>
      </w:r>
    </w:p>
    <w:p>
      <w:pPr>
        <w:pStyle w:val="ListNumber"/>
        <w:spacing w:after="80"/>
        <w:numPr>
          <w:ilvl w:val="0"/>
          <w:numId w:val="5"/>
        </w:numPr>
      </w:pPr>
      <w:r>
        <w:t>Choose Run Inbox. Show both cards move into Run and explain that each owns a separate linked worktree.</w:t>
      </w:r>
    </w:p>
    <w:p>
      <w:pPr>
        <w:pStyle w:val="ListNumber"/>
        <w:spacing w:after="80"/>
        <w:numPr>
          <w:ilvl w:val="0"/>
          <w:numId w:val="5"/>
        </w:numPr>
      </w:pPr>
      <w:r>
        <w:t>Open one Review, scan the exact diff, send a short follow-up, then accept it.</w:t>
      </w:r>
    </w:p>
    <w:p>
      <w:pPr>
        <w:pStyle w:val="ListNumber"/>
        <w:spacing w:after="80"/>
        <w:numPr>
          <w:ilvl w:val="0"/>
          <w:numId w:val="5"/>
        </w:numPr>
      </w:pPr>
      <w:r>
        <w:t>Enter a good commit message and choose Commit &amp; Merge to Main. Show Done; briefly state that predicted conflicts leave main untouched.</w:t>
      </w:r>
    </w:p>
    <w:p>
      <w:pPr>
        <w:pStyle w:val="Heading2"/>
        <w:keepNext/>
      </w:pPr>
      <w:r>
        <w:t>Scope discipline for the final day</w:t>
      </w:r>
    </w:p>
    <w:tbl>
      <w:tblPr>
        <w:tblStyle w:val="TableGrid"/>
        <w:tblW w:type="dxa" w:w="9360"/>
        <w:jc w:val="center"/>
        <w:tblLayout w:type="fixed"/>
        <w:tblLook w:firstColumn="1" w:firstRow="1" w:lastColumn="0" w:lastRow="0" w:noHBand="0" w:noVBand="1" w:val="04A0"/>
        <w:tblInd w:w="120" w:type="dxa"/>
      </w:tblPr>
      <w:tblGrid>
        <w:gridCol w:w="9360"/>
      </w:tblGrid>
      <w:tr>
        <w:trPr>
          <w:trHeight w:hRule="atLeast"/>
          <w:cantSplit/>
          <w:tblHeader w:val="true"/>
        </w:trPr>
        <w:tc>
          <w:tcPr>
            <w:tcW w:type="dxa" w:w="9360"/>
            <w:vAlign w:val="center"/>
            <w:tcMar>
              <w:top w:w="80" w:type="dxa"/>
              <w:start w:w="120" w:type="dxa"/>
              <w:bottom w:w="80" w:type="dxa"/>
              <w:end w:w="120" w:type="dxa"/>
            </w:tcMar>
            <w:shd w:fill="FFF2CC"/>
          </w:tcPr>
          <w:p>
            <w:pPr>
              <w:spacing w:after="60"/>
              <w:jc w:val="left"/>
            </w:pPr>
            <w:r>
              <w:rPr>
                <w:b/>
                <w:color w:val="17324D"/>
              </w:rPr>
              <w:t>Do not broaden the product now.</w:t>
            </w:r>
          </w:p>
          <w:p>
            <w:pPr>
              <w:spacing w:after="0"/>
            </w:pPr>
            <w:r>
              <w:t>The current workflow is coherent. Spend remaining time on GPT-5.6 proof, distribution, README evidence, demo reliability, and submission assets. Inbox persistence and notarization are useful but should not displace required submission work.</w:t>
            </w:r>
          </w:p>
        </w:tc>
      </w:tr>
    </w:tbl>
    <w:p>
      <w:pPr>
        <w:spacing w:after="0" w:line="60" w:lineRule="exact"/>
      </w:pPr>
      <w:r>
        <w:rPr>
          <w:sz w:val="6"/>
        </w:rPr>
      </w:r>
    </w:p>
    <w:p>
      <w:pPr>
        <w:pStyle w:val="Heading1"/>
        <w:keepNext/>
      </w:pPr>
      <w:r>
        <w:t>4. Draft Devpost submission copy</w:t>
      </w:r>
    </w:p>
    <w:p>
      <w:pPr>
        <w:pStyle w:val="Heading2"/>
        <w:keepNext/>
      </w:pPr>
      <w:r>
        <w:t>Project name and one-line summary</w:t>
      </w:r>
    </w:p>
    <w:p>
      <w:pPr>
        <w:keepLines/>
        <w:spacing w:after="120"/>
      </w:pPr>
      <w:r>
        <w:t>Codex Dirigent</w:t>
      </w:r>
    </w:p>
    <w:p>
      <w:pPr>
        <w:keepLines w:val="0"/>
        <w:spacing w:after="120"/>
      </w:pPr>
      <w:r>
        <w:t>A native macOS control room that queues parallel Codex coding tasks in isolated Git worktrees and makes every merge pass through an exact-diff human review gate.</w:t>
      </w:r>
    </w:p>
    <w:p>
      <w:pPr>
        <w:pStyle w:val="Heading2"/>
        <w:keepNext/>
      </w:pPr>
      <w:r>
        <w:t>Inspiration</w:t>
      </w:r>
    </w:p>
    <w:p>
      <w:pPr>
        <w:keepLines w:val="0"/>
        <w:spacing w:after="120"/>
      </w:pPr>
      <w:r>
        <w:t>Codex can execute meaningful repository work, but directing several tasks at once still forces developers to manage branches, worktrees, terminal sessions, diffs, and merge risk by hand. We wanted the speed of parallel agents without giving up the moment where a developer reads the change and decides exactly what enters main.</w:t>
      </w:r>
    </w:p>
    <w:p>
      <w:pPr>
        <w:pStyle w:val="Heading2"/>
        <w:keepNext/>
      </w:pPr>
      <w:r>
        <w:t>What it does</w:t>
      </w:r>
    </w:p>
    <w:p>
      <w:pPr>
        <w:keepLines w:val="0"/>
        <w:spacing w:after="120"/>
      </w:pPr>
      <w:r>
        <w:t>Codex Dirigent opens a local Git repository, displays its files read-only, and lets a developer create repository-, file-, or line-range cues. Any number of cues can wait in Inbox. Run Inbox starts them concurrently, with one Git worktree per cue. Results move to Review, where the developer can inspect the full tracked and untracked diff, send a follow-up, accept or reject the change, and write the commit message. Accepted work is committed in its cue worktree, preflighted for merge conflicts, and merged into a clean main only after explicit review.</w:t>
      </w:r>
    </w:p>
    <w:p>
      <w:pPr>
        <w:pStyle w:val="Heading2"/>
        <w:keepNext/>
      </w:pPr>
      <w:r>
        <w:t>How we built it</w:t>
      </w:r>
    </w:p>
    <w:p>
      <w:pPr>
        <w:keepLines w:val="0"/>
        <w:spacing w:after="120"/>
      </w:pPr>
      <w:r>
        <w:t>The application core and UI are Rust, using eframe/egui for a native macOS application. Codex CLI is the only agent backend and Git is the only version-control backend. The runner consumes `codex exec --json` events for progress and cancellation. The review state machine fingerprints the exact displayed diff, while the workspace layer creates and recovers linked worktrees, commits approved changes, and uses `git merge-tree` before touching main.</w:t>
      </w:r>
    </w:p>
    <w:p>
      <w:pPr>
        <w:pStyle w:val="Heading2"/>
        <w:keepNext/>
      </w:pPr>
      <w:r>
        <w:t>How Codex and GPT-5.6 contributed</w:t>
      </w:r>
    </w:p>
    <w:p>
      <w:pPr>
        <w:keepLines w:val="0"/>
        <w:spacing w:after="120"/>
      </w:pPr>
      <w:r>
        <w:t>Codex accelerated repository inspection, vertical feature implementation, focused test construction, and the repeated review–fix–verify–commit loop. We deliberately kept product decisions human-owned: Codex-only scope, Git-only workflows, native Rust UI, lazy worktree creation, exact-diff approval, and conflict-safe merges. For the final Build Week iteration, we selected GPT-5.6 to [INSERT THE SPECIFIC, VERIFIED TASK], used its output to [INSERT VERIFIED RESULT], and validated the result with [INSERT CHECKS]. Session evidence: [INSERT /feedback SESSION ID].</w:t>
      </w:r>
    </w:p>
    <w:p>
      <w:pPr>
        <w:pStyle w:val="Heading2"/>
        <w:keepNext/>
      </w:pPr>
      <w:r>
        <w:t>Challenges and accomplishments</w:t>
      </w:r>
    </w:p>
    <w:p>
      <w:pPr>
        <w:keepLines w:val="0"/>
        <w:spacing w:after="120"/>
      </w:pPr>
      <w:r>
        <w:t>The hardest part was making concurrency safe rather than merely possible. A cue must never leak changes into another run or turn a stale review into authorization. We are proud that each run is isolated, acceptance is invalidated when the diff changes, merge conflicts leave main untouched, and unfinished worktrees are recoverable after restart.</w:t>
      </w:r>
    </w:p>
    <w:p>
      <w:pPr>
        <w:pStyle w:val="Heading2"/>
        <w:keepNext/>
      </w:pPr>
      <w:r>
        <w:t>What’s next</w:t>
      </w:r>
    </w:p>
    <w:p>
      <w:pPr>
        <w:keepLines w:val="0"/>
        <w:spacing w:after="120"/>
      </w:pPr>
      <w:r>
        <w:t>Next we would persist Inbox cues and full conversations, improve signed/notarized distribution, add richer side-by-side diff navigation, and expand recovery metadata—while keeping Codex as the sole execution model and explicit review as the product’s central promise.</w:t>
      </w:r>
    </w:p>
    <w:p>
      <w:pPr>
        <w:pStyle w:val="Heading1"/>
        <w:keepNext/>
      </w:pPr>
      <w:r>
        <w:t>5. Demo video script — target 2:50</w:t>
      </w:r>
    </w:p>
    <w:tbl>
      <w:tblPr>
        <w:tblStyle w:val="TableGrid"/>
        <w:tblW w:type="dxa" w:w="9360"/>
        <w:jc w:val="center"/>
        <w:tblLayout w:type="fixed"/>
        <w:tblLook w:firstColumn="1" w:firstRow="1" w:lastColumn="0" w:lastRow="0" w:noHBand="0" w:noVBand="1" w:val="04A0"/>
        <w:tblInd w:w="120" w:type="dxa"/>
      </w:tblPr>
      <w:tblGrid>
        <w:gridCol w:w="1150"/>
        <w:gridCol w:w="2850"/>
        <w:gridCol w:w="5360"/>
      </w:tblGrid>
      <w:tr>
        <w:trPr>
          <w:trHeight w:hRule="atLeast"/>
          <w:tblHeader w:val="true"/>
          <w:cantSplit/>
        </w:trPr>
        <w:tc>
          <w:tcPr>
            <w:tcW w:type="dxa" w:w="1150"/>
            <w:shd w:fill="F2F4F7"/>
            <w:vAlign w:val="center"/>
            <w:tcMar>
              <w:top w:w="80" w:type="dxa"/>
              <w:start w:w="120" w:type="dxa"/>
              <w:bottom w:w="80" w:type="dxa"/>
              <w:end w:w="120" w:type="dxa"/>
            </w:tcMar>
          </w:tcPr>
          <w:p>
            <w:pPr>
              <w:jc w:val="left"/>
            </w:pPr>
            <w:r>
              <w:rPr>
                <w:b/>
              </w:rPr>
              <w:t>Time</w:t>
            </w:r>
          </w:p>
        </w:tc>
        <w:tc>
          <w:tcPr>
            <w:tcW w:type="dxa" w:w="2850"/>
            <w:shd w:fill="F2F4F7"/>
            <w:vAlign w:val="center"/>
            <w:tcMar>
              <w:top w:w="80" w:type="dxa"/>
              <w:start w:w="120" w:type="dxa"/>
              <w:bottom w:w="80" w:type="dxa"/>
              <w:end w:w="120" w:type="dxa"/>
            </w:tcMar>
          </w:tcPr>
          <w:p>
            <w:pPr>
              <w:jc w:val="left"/>
            </w:pPr>
            <w:r>
              <w:rPr>
                <w:b/>
              </w:rPr>
              <w:t>On screen</w:t>
            </w:r>
          </w:p>
        </w:tc>
        <w:tc>
          <w:tcPr>
            <w:tcW w:type="dxa" w:w="5360"/>
            <w:shd w:fill="F2F4F7"/>
            <w:vAlign w:val="center"/>
            <w:tcMar>
              <w:top w:w="80" w:type="dxa"/>
              <w:start w:w="120" w:type="dxa"/>
              <w:bottom w:w="80" w:type="dxa"/>
              <w:end w:w="120" w:type="dxa"/>
            </w:tcMar>
          </w:tcPr>
          <w:p>
            <w:pPr>
              <w:jc w:val="left"/>
            </w:pPr>
            <w:r>
              <w:rPr>
                <w:b/>
              </w:rPr>
              <w:t>Voiceover</w:t>
            </w:r>
          </w:p>
        </w:tc>
      </w:tr>
      <w:tr>
        <w:trPr>
          <w:trHeight w:hRule="atLeast"/>
          <w:cantSplit/>
        </w:trPr>
        <w:tc>
          <w:tcPr>
            <w:tcW w:type="dxa" w:w="1150"/>
            <w:vAlign w:val="center"/>
            <w:tcMar>
              <w:top w:w="80" w:type="dxa"/>
              <w:start w:w="120" w:type="dxa"/>
              <w:bottom w:w="80" w:type="dxa"/>
              <w:end w:w="120" w:type="dxa"/>
            </w:tcMar>
          </w:tcPr>
          <w:p>
            <w:pPr>
              <w:jc w:val="left"/>
            </w:pPr>
            <w:r>
              <w:t>0:00–0:15</w:t>
            </w:r>
          </w:p>
        </w:tc>
        <w:tc>
          <w:tcPr>
            <w:tcW w:type="dxa" w:w="2850"/>
            <w:vAlign w:val="center"/>
            <w:tcMar>
              <w:top w:w="80" w:type="dxa"/>
              <w:start w:w="120" w:type="dxa"/>
              <w:bottom w:w="80" w:type="dxa"/>
              <w:end w:w="120" w:type="dxa"/>
            </w:tcMar>
          </w:tcPr>
          <w:p>
            <w:pPr>
              <w:jc w:val="left"/>
            </w:pPr>
            <w:r>
              <w:t>Title, then the Cue Board</w:t>
            </w:r>
          </w:p>
        </w:tc>
        <w:tc>
          <w:tcPr>
            <w:tcW w:type="dxa" w:w="5360"/>
            <w:vAlign w:val="center"/>
            <w:tcMar>
              <w:top w:w="80" w:type="dxa"/>
              <w:start w:w="120" w:type="dxa"/>
              <w:bottom w:w="80" w:type="dxa"/>
              <w:end w:w="120" w:type="dxa"/>
            </w:tcMar>
          </w:tcPr>
          <w:p>
            <w:pPr>
              <w:jc w:val="left"/>
            </w:pPr>
            <w:r>
              <w:t>“Codex can code quickly. The hard part is directing several tasks without workspace collisions or unsafe commits. Codex Dirigent is a native macOS control room for that.”</w:t>
            </w:r>
          </w:p>
        </w:tc>
      </w:tr>
      <w:tr>
        <w:trPr>
          <w:trHeight w:hRule="atLeast"/>
          <w:cantSplit/>
        </w:trPr>
        <w:tc>
          <w:tcPr>
            <w:tcW w:type="dxa" w:w="1150"/>
            <w:vAlign w:val="center"/>
            <w:tcMar>
              <w:top w:w="80" w:type="dxa"/>
              <w:start w:w="120" w:type="dxa"/>
              <w:bottom w:w="80" w:type="dxa"/>
              <w:end w:w="120" w:type="dxa"/>
            </w:tcMar>
          </w:tcPr>
          <w:p>
            <w:pPr>
              <w:jc w:val="left"/>
            </w:pPr>
            <w:r>
              <w:t>0:15–0:35</w:t>
            </w:r>
          </w:p>
        </w:tc>
        <w:tc>
          <w:tcPr>
            <w:tcW w:type="dxa" w:w="2850"/>
            <w:vAlign w:val="center"/>
            <w:tcMar>
              <w:top w:w="80" w:type="dxa"/>
              <w:start w:w="120" w:type="dxa"/>
              <w:bottom w:w="80" w:type="dxa"/>
              <w:end w:w="120" w:type="dxa"/>
            </w:tcMar>
          </w:tcPr>
          <w:p>
            <w:pPr>
              <w:jc w:val="left"/>
            </w:pPr>
            <w:r>
              <w:t>Open repository; expand folders; select a file</w:t>
            </w:r>
          </w:p>
        </w:tc>
        <w:tc>
          <w:tcPr>
            <w:tcW w:type="dxa" w:w="5360"/>
            <w:vAlign w:val="center"/>
            <w:tcMar>
              <w:top w:w="80" w:type="dxa"/>
              <w:start w:w="120" w:type="dxa"/>
              <w:bottom w:w="80" w:type="dxa"/>
              <w:end w:w="120" w:type="dxa"/>
            </w:tcMar>
          </w:tcPr>
          <w:p>
            <w:pPr>
              <w:jc w:val="left"/>
            </w:pPr>
            <w:r>
              <w:t>“I open any local Git repository and browse its code read-only. Cues can target the repository, one file, or an exact line range.”</w:t>
            </w:r>
          </w:p>
        </w:tc>
      </w:tr>
      <w:tr>
        <w:trPr>
          <w:trHeight w:hRule="atLeast"/>
          <w:cantSplit/>
        </w:trPr>
        <w:tc>
          <w:tcPr>
            <w:tcW w:type="dxa" w:w="1150"/>
            <w:vAlign w:val="center"/>
            <w:tcMar>
              <w:top w:w="80" w:type="dxa"/>
              <w:start w:w="120" w:type="dxa"/>
              <w:bottom w:w="80" w:type="dxa"/>
              <w:end w:w="120" w:type="dxa"/>
            </w:tcMar>
          </w:tcPr>
          <w:p>
            <w:pPr>
              <w:jc w:val="left"/>
            </w:pPr>
            <w:r>
              <w:t>0:35–0:55</w:t>
            </w:r>
          </w:p>
        </w:tc>
        <w:tc>
          <w:tcPr>
            <w:tcW w:type="dxa" w:w="2850"/>
            <w:vAlign w:val="center"/>
            <w:tcMar>
              <w:top w:w="80" w:type="dxa"/>
              <w:start w:w="120" w:type="dxa"/>
              <w:bottom w:w="80" w:type="dxa"/>
              <w:end w:w="120" w:type="dxa"/>
            </w:tcMar>
          </w:tcPr>
          <w:p>
            <w:pPr>
              <w:jc w:val="left"/>
            </w:pPr>
            <w:r>
              <w:t>Create two cues; show Inbox</w:t>
            </w:r>
          </w:p>
        </w:tc>
        <w:tc>
          <w:tcPr>
            <w:tcW w:type="dxa" w:w="5360"/>
            <w:vAlign w:val="center"/>
            <w:tcMar>
              <w:top w:w="80" w:type="dxa"/>
              <w:start w:w="120" w:type="dxa"/>
              <w:bottom w:w="80" w:type="dxa"/>
              <w:end w:w="120" w:type="dxa"/>
            </w:tcMar>
          </w:tcPr>
          <w:p>
            <w:pPr>
              <w:jc w:val="left"/>
            </w:pPr>
            <w:r>
              <w:t>“I can queue as many cues as I need before spending any execution time or creating branches.”</w:t>
            </w:r>
          </w:p>
        </w:tc>
      </w:tr>
      <w:tr>
        <w:trPr>
          <w:trHeight w:hRule="atLeast"/>
          <w:cantSplit/>
        </w:trPr>
        <w:tc>
          <w:tcPr>
            <w:tcW w:type="dxa" w:w="1150"/>
            <w:vAlign w:val="center"/>
            <w:tcMar>
              <w:top w:w="80" w:type="dxa"/>
              <w:start w:w="120" w:type="dxa"/>
              <w:bottom w:w="80" w:type="dxa"/>
              <w:end w:w="120" w:type="dxa"/>
            </w:tcMar>
          </w:tcPr>
          <w:p>
            <w:pPr>
              <w:jc w:val="left"/>
            </w:pPr>
            <w:r>
              <w:t>0:55–1:25</w:t>
            </w:r>
          </w:p>
        </w:tc>
        <w:tc>
          <w:tcPr>
            <w:tcW w:type="dxa" w:w="2850"/>
            <w:vAlign w:val="center"/>
            <w:tcMar>
              <w:top w:w="80" w:type="dxa"/>
              <w:start w:w="120" w:type="dxa"/>
              <w:bottom w:w="80" w:type="dxa"/>
              <w:end w:w="120" w:type="dxa"/>
            </w:tcMar>
          </w:tcPr>
          <w:p>
            <w:pPr>
              <w:jc w:val="left"/>
            </w:pPr>
            <w:r>
              <w:t>Run Inbox; two cards in Run with progress</w:t>
            </w:r>
          </w:p>
        </w:tc>
        <w:tc>
          <w:tcPr>
            <w:tcW w:type="dxa" w:w="5360"/>
            <w:vAlign w:val="center"/>
            <w:tcMar>
              <w:top w:w="80" w:type="dxa"/>
              <w:start w:w="120" w:type="dxa"/>
              <w:bottom w:w="80" w:type="dxa"/>
              <w:end w:w="120" w:type="dxa"/>
            </w:tcMar>
          </w:tcPr>
          <w:p>
            <w:pPr>
              <w:jc w:val="left"/>
            </w:pPr>
            <w:r>
              <w:t>“Run Inbox starts them concurrently. Each cue gets a separate linked Git worktree, so Codex tasks never share a mutable checkout.”</w:t>
            </w:r>
          </w:p>
        </w:tc>
      </w:tr>
      <w:tr>
        <w:trPr>
          <w:trHeight w:hRule="atLeast"/>
          <w:cantSplit/>
        </w:trPr>
        <w:tc>
          <w:tcPr>
            <w:tcW w:type="dxa" w:w="1150"/>
            <w:vAlign w:val="center"/>
            <w:tcMar>
              <w:top w:w="80" w:type="dxa"/>
              <w:start w:w="120" w:type="dxa"/>
              <w:bottom w:w="80" w:type="dxa"/>
              <w:end w:w="120" w:type="dxa"/>
            </w:tcMar>
          </w:tcPr>
          <w:p>
            <w:pPr>
              <w:jc w:val="left"/>
            </w:pPr>
            <w:r>
              <w:t>1:25–1:55</w:t>
            </w:r>
          </w:p>
        </w:tc>
        <w:tc>
          <w:tcPr>
            <w:tcW w:type="dxa" w:w="2850"/>
            <w:vAlign w:val="center"/>
            <w:tcMar>
              <w:top w:w="80" w:type="dxa"/>
              <w:start w:w="120" w:type="dxa"/>
              <w:bottom w:w="80" w:type="dxa"/>
              <w:end w:w="120" w:type="dxa"/>
            </w:tcMar>
          </w:tcPr>
          <w:p>
            <w:pPr>
              <w:jc w:val="left"/>
            </w:pPr>
            <w:r>
              <w:t>Open Review; scroll diff; send follow-up</w:t>
            </w:r>
          </w:p>
        </w:tc>
        <w:tc>
          <w:tcPr>
            <w:tcW w:type="dxa" w:w="5360"/>
            <w:vAlign w:val="center"/>
            <w:tcMar>
              <w:top w:w="80" w:type="dxa"/>
              <w:start w:w="120" w:type="dxa"/>
              <w:bottom w:w="80" w:type="dxa"/>
              <w:end w:w="120" w:type="dxa"/>
            </w:tcMar>
          </w:tcPr>
          <w:p>
            <w:pPr>
              <w:jc w:val="left"/>
            </w:pPr>
            <w:r>
              <w:t>“The result is not trusted automatically. I review the full diff and can refine it in the same cue conversation.”</w:t>
            </w:r>
          </w:p>
        </w:tc>
      </w:tr>
      <w:tr>
        <w:trPr>
          <w:trHeight w:hRule="atLeast"/>
          <w:cantSplit/>
        </w:trPr>
        <w:tc>
          <w:tcPr>
            <w:tcW w:type="dxa" w:w="1150"/>
            <w:vAlign w:val="center"/>
            <w:tcMar>
              <w:top w:w="80" w:type="dxa"/>
              <w:start w:w="120" w:type="dxa"/>
              <w:bottom w:w="80" w:type="dxa"/>
              <w:end w:w="120" w:type="dxa"/>
            </w:tcMar>
          </w:tcPr>
          <w:p>
            <w:pPr>
              <w:jc w:val="left"/>
            </w:pPr>
            <w:r>
              <w:t>1:55–2:20</w:t>
            </w:r>
          </w:p>
        </w:tc>
        <w:tc>
          <w:tcPr>
            <w:tcW w:type="dxa" w:w="2850"/>
            <w:vAlign w:val="center"/>
            <w:tcMar>
              <w:top w:w="80" w:type="dxa"/>
              <w:start w:w="120" w:type="dxa"/>
              <w:bottom w:w="80" w:type="dxa"/>
              <w:end w:w="120" w:type="dxa"/>
            </w:tcMar>
          </w:tcPr>
          <w:p>
            <w:pPr>
              <w:jc w:val="left"/>
            </w:pPr>
            <w:r>
              <w:t>Accept; type commit message; Commit &amp; Merge</w:t>
            </w:r>
          </w:p>
        </w:tc>
        <w:tc>
          <w:tcPr>
            <w:tcW w:type="dxa" w:w="5360"/>
            <w:vAlign w:val="center"/>
            <w:tcMar>
              <w:top w:w="80" w:type="dxa"/>
              <w:start w:w="120" w:type="dxa"/>
              <w:bottom w:w="80" w:type="dxa"/>
              <w:end w:w="120" w:type="dxa"/>
            </w:tcMar>
          </w:tcPr>
          <w:p>
            <w:pPr>
              <w:jc w:val="left"/>
            </w:pPr>
            <w:r>
              <w:t>“Acceptance is tied to this exact diff. If it changes, approval is invalid. The commit happens in the cue worktree, and a merge preflight protects a clean main.”</w:t>
            </w:r>
          </w:p>
        </w:tc>
      </w:tr>
      <w:tr>
        <w:trPr>
          <w:trHeight w:hRule="atLeast"/>
          <w:cantSplit/>
        </w:trPr>
        <w:tc>
          <w:tcPr>
            <w:tcW w:type="dxa" w:w="1150"/>
            <w:vAlign w:val="center"/>
            <w:tcMar>
              <w:top w:w="80" w:type="dxa"/>
              <w:start w:w="120" w:type="dxa"/>
              <w:bottom w:w="80" w:type="dxa"/>
              <w:end w:w="120" w:type="dxa"/>
            </w:tcMar>
          </w:tcPr>
          <w:p>
            <w:pPr>
              <w:jc w:val="left"/>
            </w:pPr>
            <w:r>
              <w:t>2:20–2:40</w:t>
            </w:r>
          </w:p>
        </w:tc>
        <w:tc>
          <w:tcPr>
            <w:tcW w:type="dxa" w:w="2850"/>
            <w:vAlign w:val="center"/>
            <w:tcMar>
              <w:top w:w="80" w:type="dxa"/>
              <w:start w:w="120" w:type="dxa"/>
              <w:bottom w:w="80" w:type="dxa"/>
              <w:end w:w="120" w:type="dxa"/>
            </w:tcMar>
          </w:tcPr>
          <w:p>
            <w:pPr>
              <w:jc w:val="left"/>
            </w:pPr>
            <w:r>
              <w:t>Done lane, architecture/evidence slide</w:t>
            </w:r>
          </w:p>
        </w:tc>
        <w:tc>
          <w:tcPr>
            <w:tcW w:type="dxa" w:w="5360"/>
            <w:vAlign w:val="center"/>
            <w:tcMar>
              <w:top w:w="80" w:type="dxa"/>
              <w:start w:w="120" w:type="dxa"/>
              <w:bottom w:w="80" w:type="dxa"/>
              <w:end w:w="120" w:type="dxa"/>
            </w:tcMar>
          </w:tcPr>
          <w:p>
            <w:pPr>
              <w:jc w:val="left"/>
            </w:pPr>
            <w:r>
              <w:t>“The app is Rust with eframe/egui, talks directly to Codex CLI, and uses Git only. GPT-5.6 helped us [STATE VERIFIED CONTRIBUTION], with tests validating the result.”</w:t>
            </w:r>
          </w:p>
        </w:tc>
      </w:tr>
      <w:tr>
        <w:trPr>
          <w:trHeight w:hRule="atLeast"/>
          <w:cantSplit/>
        </w:trPr>
        <w:tc>
          <w:tcPr>
            <w:tcW w:type="dxa" w:w="1150"/>
            <w:vAlign w:val="center"/>
            <w:tcMar>
              <w:top w:w="80" w:type="dxa"/>
              <w:start w:w="120" w:type="dxa"/>
              <w:bottom w:w="80" w:type="dxa"/>
              <w:end w:w="120" w:type="dxa"/>
            </w:tcMar>
          </w:tcPr>
          <w:p>
            <w:pPr>
              <w:jc w:val="left"/>
            </w:pPr>
            <w:r>
              <w:t>2:40–2:50</w:t>
            </w:r>
          </w:p>
        </w:tc>
        <w:tc>
          <w:tcPr>
            <w:tcW w:type="dxa" w:w="2850"/>
            <w:vAlign w:val="center"/>
            <w:tcMar>
              <w:top w:w="80" w:type="dxa"/>
              <w:start w:w="120" w:type="dxa"/>
              <w:bottom w:w="80" w:type="dxa"/>
              <w:end w:w="120" w:type="dxa"/>
            </w:tcMar>
          </w:tcPr>
          <w:p>
            <w:pPr>
              <w:jc w:val="left"/>
            </w:pPr>
            <w:r>
              <w:t>Product mark and tagline</w:t>
            </w:r>
          </w:p>
        </w:tc>
        <w:tc>
          <w:tcPr>
            <w:tcW w:type="dxa" w:w="5360"/>
            <w:vAlign w:val="center"/>
            <w:tcMar>
              <w:top w:w="80" w:type="dxa"/>
              <w:start w:w="120" w:type="dxa"/>
              <w:bottom w:w="80" w:type="dxa"/>
              <w:end w:w="120" w:type="dxa"/>
            </w:tcMar>
          </w:tcPr>
          <w:p>
            <w:pPr>
              <w:jc w:val="left"/>
            </w:pPr>
            <w:r>
              <w:t>“Parallel coding agents are easy. Codex Dirigent makes them reviewable, recoverable, and safe to merge.”</w:t>
            </w:r>
          </w:p>
        </w:tc>
      </w:tr>
    </w:tbl>
    <w:p>
      <w:pPr>
        <w:pStyle w:val="Heading2"/>
        <w:keepNext/>
      </w:pPr>
      <w:r>
        <w:t>Recording checklist</w:t>
      </w:r>
    </w:p>
    <w:p>
      <w:pPr>
        <w:pStyle w:val="ListBullet"/>
        <w:spacing w:after="80"/>
        <w:numPr>
          <w:ilvl w:val="0"/>
          <w:numId w:val="1"/>
        </w:numPr>
      </w:pPr>
      <w:r>
        <w:t>Public YouTube link; total duration under three minutes; clear spoken audio; no copyrighted music.</w:t>
      </w:r>
    </w:p>
    <w:p>
      <w:pPr>
        <w:pStyle w:val="ListBullet"/>
        <w:spacing w:after="80"/>
        <w:numPr>
          <w:ilvl w:val="0"/>
          <w:numId w:val="1"/>
        </w:numPr>
      </w:pPr>
      <w:r>
        <w:t>Show a real working run, not only slides. Keep the repository small so Codex completes reliably on camera.</w:t>
      </w:r>
    </w:p>
    <w:p>
      <w:pPr>
        <w:pStyle w:val="ListBullet"/>
        <w:spacing w:after="80"/>
        <w:numPr>
          <w:ilvl w:val="0"/>
          <w:numId w:val="1"/>
        </w:numPr>
      </w:pPr>
      <w:r>
        <w:t>Explicitly say how Codex and GPT-5.6 were used. Do not rely on the settings screen as proof.</w:t>
      </w:r>
    </w:p>
    <w:p>
      <w:pPr>
        <w:pStyle w:val="ListBullet"/>
        <w:spacing w:after="80"/>
        <w:numPr>
          <w:ilvl w:val="0"/>
          <w:numId w:val="1"/>
        </w:numPr>
      </w:pPr>
      <w:r>
        <w:t>Blur usernames, local paths, notifications, access tokens, and unrelated repository content.</w:t>
      </w:r>
    </w:p>
    <w:p>
      <w:pPr>
        <w:pStyle w:val="ListBullet"/>
        <w:spacing w:after="80"/>
        <w:numPr>
          <w:ilvl w:val="0"/>
          <w:numId w:val="1"/>
        </w:numPr>
      </w:pPr>
      <w:r>
        <w:t>Capture at readable scale and verify the uploaded video’s audio, visibility, and URL in a private browser window.</w:t>
      </w:r>
    </w:p>
    <w:p>
      <w:pPr>
        <w:pStyle w:val="Heading1"/>
        <w:keepNext/>
      </w:pPr>
      <w:r>
        <w:t>6. Deadline plan</w:t>
      </w:r>
    </w:p>
    <w:p>
      <w:pPr>
        <w:keepLines w:val="0"/>
        <w:spacing w:after="120"/>
      </w:pPr>
      <w:r>
        <w:t>The submission deadline is 22 July at 02:00 CEST. Submit a complete draft early; Devpost allows drafts before the deadline, but substantive changes are not available afterward.</w:t>
      </w:r>
    </w:p>
    <w:tbl>
      <w:tblPr>
        <w:tblStyle w:val="TableGrid"/>
        <w:tblW w:type="dxa" w:w="9360"/>
        <w:jc w:val="center"/>
        <w:tblLayout w:type="fixed"/>
        <w:tblLook w:firstColumn="1" w:firstRow="1" w:lastColumn="0" w:lastRow="0" w:noHBand="0" w:noVBand="1" w:val="04A0"/>
        <w:tblInd w:w="120" w:type="dxa"/>
      </w:tblPr>
      <w:tblGrid>
        <w:gridCol w:w="1100"/>
        <w:gridCol w:w="3200"/>
        <w:gridCol w:w="3460"/>
        <w:gridCol w:w="1600"/>
      </w:tblGrid>
      <w:tr>
        <w:trPr>
          <w:trHeight w:hRule="atLeast"/>
          <w:tblHeader w:val="true"/>
          <w:cantSplit/>
        </w:trPr>
        <w:tc>
          <w:tcPr>
            <w:tcW w:type="dxa" w:w="1100"/>
            <w:shd w:fill="F2F4F7"/>
            <w:vAlign w:val="center"/>
            <w:tcMar>
              <w:top w:w="80" w:type="dxa"/>
              <w:start w:w="120" w:type="dxa"/>
              <w:bottom w:w="80" w:type="dxa"/>
              <w:end w:w="120" w:type="dxa"/>
            </w:tcMar>
          </w:tcPr>
          <w:p>
            <w:pPr>
              <w:jc w:val="left"/>
            </w:pPr>
            <w:r>
              <w:rPr>
                <w:b/>
              </w:rPr>
              <w:t>Priority</w:t>
            </w:r>
          </w:p>
        </w:tc>
        <w:tc>
          <w:tcPr>
            <w:tcW w:type="dxa" w:w="3200"/>
            <w:shd w:fill="F2F4F7"/>
            <w:vAlign w:val="center"/>
            <w:tcMar>
              <w:top w:w="80" w:type="dxa"/>
              <w:start w:w="120" w:type="dxa"/>
              <w:bottom w:w="80" w:type="dxa"/>
              <w:end w:w="120" w:type="dxa"/>
            </w:tcMar>
          </w:tcPr>
          <w:p>
            <w:pPr>
              <w:jc w:val="left"/>
            </w:pPr>
            <w:r>
              <w:rPr>
                <w:b/>
              </w:rPr>
              <w:t>Owner action</w:t>
            </w:r>
          </w:p>
        </w:tc>
        <w:tc>
          <w:tcPr>
            <w:tcW w:type="dxa" w:w="3460"/>
            <w:shd w:fill="F2F4F7"/>
            <w:vAlign w:val="center"/>
            <w:tcMar>
              <w:top w:w="80" w:type="dxa"/>
              <w:start w:w="120" w:type="dxa"/>
              <w:bottom w:w="80" w:type="dxa"/>
              <w:end w:w="120" w:type="dxa"/>
            </w:tcMar>
          </w:tcPr>
          <w:p>
            <w:pPr>
              <w:jc w:val="left"/>
            </w:pPr>
            <w:r>
              <w:rPr>
                <w:b/>
              </w:rPr>
              <w:t>Acceptance check</w:t>
            </w:r>
          </w:p>
        </w:tc>
        <w:tc>
          <w:tcPr>
            <w:tcW w:type="dxa" w:w="1600"/>
            <w:shd w:fill="F2F4F7"/>
            <w:vAlign w:val="center"/>
            <w:tcMar>
              <w:top w:w="80" w:type="dxa"/>
              <w:start w:w="120" w:type="dxa"/>
              <w:bottom w:w="80" w:type="dxa"/>
              <w:end w:w="120" w:type="dxa"/>
            </w:tcMar>
          </w:tcPr>
          <w:p>
            <w:pPr>
              <w:jc w:val="left"/>
            </w:pPr>
            <w:r>
              <w:rPr>
                <w:b/>
              </w:rPr>
              <w:t>Suggested cutoff (CEST)</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Join the hackathon and create the Devpost draft; select Developer Tools.</w:t>
            </w:r>
          </w:p>
        </w:tc>
        <w:tc>
          <w:tcPr>
            <w:tcW w:type="dxa" w:w="3460"/>
            <w:vAlign w:val="center"/>
            <w:tcMar>
              <w:top w:w="80" w:type="dxa"/>
              <w:start w:w="120" w:type="dxa"/>
              <w:bottom w:w="80" w:type="dxa"/>
              <w:end w:w="120" w:type="dxa"/>
            </w:tcMar>
          </w:tcPr>
          <w:p>
            <w:pPr>
              <w:jc w:val="left"/>
            </w:pPr>
            <w:r>
              <w:t>Draft exists and all required fields are visible.</w:t>
            </w:r>
          </w:p>
        </w:tc>
        <w:tc>
          <w:tcPr>
            <w:tcW w:type="dxa" w:w="1600"/>
            <w:vAlign w:val="center"/>
            <w:tcMar>
              <w:top w:w="80" w:type="dxa"/>
              <w:start w:w="120" w:type="dxa"/>
              <w:bottom w:w="80" w:type="dxa"/>
              <w:end w:w="120" w:type="dxa"/>
            </w:tcMar>
          </w:tcPr>
          <w:p>
            <w:pPr>
              <w:jc w:val="left"/>
            </w:pPr>
            <w:r>
              <w:t>20 Jul, 20:00</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Configure Codex Dirigent to use `gpt-5.6`; complete one meaningful final feature/fix through the app.</w:t>
            </w:r>
          </w:p>
        </w:tc>
        <w:tc>
          <w:tcPr>
            <w:tcW w:type="dxa" w:w="3460"/>
            <w:vAlign w:val="center"/>
            <w:tcMar>
              <w:top w:w="80" w:type="dxa"/>
              <w:start w:w="120" w:type="dxa"/>
              <w:bottom w:w="80" w:type="dxa"/>
              <w:end w:w="120" w:type="dxa"/>
            </w:tcMar>
          </w:tcPr>
          <w:p>
            <w:pPr>
              <w:jc w:val="left"/>
            </w:pPr>
            <w:r>
              <w:t>Run evidence names the model, task, result, and checks; changes are reviewed and committed.</w:t>
            </w:r>
          </w:p>
        </w:tc>
        <w:tc>
          <w:tcPr>
            <w:tcW w:type="dxa" w:w="1600"/>
            <w:vAlign w:val="center"/>
            <w:tcMar>
              <w:top w:w="80" w:type="dxa"/>
              <w:start w:w="120" w:type="dxa"/>
              <w:bottom w:w="80" w:type="dxa"/>
              <w:end w:w="120" w:type="dxa"/>
            </w:tcMar>
          </w:tcPr>
          <w:p>
            <w:pPr>
              <w:jc w:val="left"/>
            </w:pPr>
            <w:r>
              <w:t>20 Jul, 23:00</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Use `/feedback` in the primary build thread.</w:t>
            </w:r>
          </w:p>
        </w:tc>
        <w:tc>
          <w:tcPr>
            <w:tcW w:type="dxa" w:w="3460"/>
            <w:vAlign w:val="center"/>
            <w:tcMar>
              <w:top w:w="80" w:type="dxa"/>
              <w:start w:w="120" w:type="dxa"/>
              <w:bottom w:w="80" w:type="dxa"/>
              <w:end w:w="120" w:type="dxa"/>
            </w:tcMar>
          </w:tcPr>
          <w:p>
            <w:pPr>
              <w:jc w:val="left"/>
            </w:pPr>
            <w:r>
              <w:t>Session ID is copied into a safe submission note and Devpost field.</w:t>
            </w:r>
          </w:p>
        </w:tc>
        <w:tc>
          <w:tcPr>
            <w:tcW w:type="dxa" w:w="1600"/>
            <w:vAlign w:val="center"/>
            <w:tcMar>
              <w:top w:w="80" w:type="dxa"/>
              <w:start w:w="120" w:type="dxa"/>
              <w:bottom w:w="80" w:type="dxa"/>
              <w:end w:w="120" w:type="dxa"/>
            </w:tcMar>
          </w:tcPr>
          <w:p>
            <w:pPr>
              <w:jc w:val="left"/>
            </w:pPr>
            <w:r>
              <w:t>20 Jul, 23:15</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Add repository remote and judge access; publish a test build release.</w:t>
            </w:r>
          </w:p>
        </w:tc>
        <w:tc>
          <w:tcPr>
            <w:tcW w:type="dxa" w:w="3460"/>
            <w:vAlign w:val="center"/>
            <w:tcMar>
              <w:top w:w="80" w:type="dxa"/>
              <w:start w:w="120" w:type="dxa"/>
              <w:bottom w:w="80" w:type="dxa"/>
              <w:end w:w="120" w:type="dxa"/>
            </w:tcMar>
          </w:tcPr>
          <w:p>
            <w:pPr>
              <w:jc w:val="left"/>
            </w:pPr>
            <w:r>
              <w:t>Fresh macOS account can download, open, authenticate Codex CLI, and complete the sample workflow without rebuilding.</w:t>
            </w:r>
          </w:p>
        </w:tc>
        <w:tc>
          <w:tcPr>
            <w:tcW w:type="dxa" w:w="1600"/>
            <w:vAlign w:val="center"/>
            <w:tcMar>
              <w:top w:w="80" w:type="dxa"/>
              <w:start w:w="120" w:type="dxa"/>
              <w:bottom w:w="80" w:type="dxa"/>
              <w:end w:w="120" w:type="dxa"/>
            </w:tcMar>
          </w:tcPr>
          <w:p>
            <w:pPr>
              <w:jc w:val="left"/>
            </w:pPr>
            <w:r>
              <w:t>21 Jul, 10:00</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Update README with Build Week evidence, install/test steps, supported platform, and known limits.</w:t>
            </w:r>
          </w:p>
        </w:tc>
        <w:tc>
          <w:tcPr>
            <w:tcW w:type="dxa" w:w="3460"/>
            <w:vAlign w:val="center"/>
            <w:tcMar>
              <w:top w:w="80" w:type="dxa"/>
              <w:start w:w="120" w:type="dxa"/>
              <w:bottom w:w="80" w:type="dxa"/>
              <w:end w:w="120" w:type="dxa"/>
            </w:tcMar>
          </w:tcPr>
          <w:p>
            <w:pPr>
              <w:jc w:val="left"/>
            </w:pPr>
            <w:r>
              <w:t>A judge can understand setup, Codex/GPT-5.6 contribution, and the exact demo path.</w:t>
            </w:r>
          </w:p>
        </w:tc>
        <w:tc>
          <w:tcPr>
            <w:tcW w:type="dxa" w:w="1600"/>
            <w:vAlign w:val="center"/>
            <w:tcMar>
              <w:top w:w="80" w:type="dxa"/>
              <w:start w:w="120" w:type="dxa"/>
              <w:bottom w:w="80" w:type="dxa"/>
              <w:end w:w="120" w:type="dxa"/>
            </w:tcMar>
          </w:tcPr>
          <w:p>
            <w:pPr>
              <w:jc w:val="left"/>
            </w:pPr>
            <w:r>
              <w:t>21 Jul, 12:00</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Rehearse and record the video.</w:t>
            </w:r>
          </w:p>
        </w:tc>
        <w:tc>
          <w:tcPr>
            <w:tcW w:type="dxa" w:w="3460"/>
            <w:vAlign w:val="center"/>
            <w:tcMar>
              <w:top w:w="80" w:type="dxa"/>
              <w:start w:w="120" w:type="dxa"/>
              <w:bottom w:w="80" w:type="dxa"/>
              <w:end w:w="120" w:type="dxa"/>
            </w:tcMar>
          </w:tcPr>
          <w:p>
            <w:pPr>
              <w:jc w:val="left"/>
            </w:pPr>
            <w:r>
              <w:t>Public &lt;3-minute YouTube video works in a private window and covers Codex plus GPT-5.6.</w:t>
            </w:r>
          </w:p>
        </w:tc>
        <w:tc>
          <w:tcPr>
            <w:tcW w:type="dxa" w:w="1600"/>
            <w:vAlign w:val="center"/>
            <w:tcMar>
              <w:top w:w="80" w:type="dxa"/>
              <w:start w:w="120" w:type="dxa"/>
              <w:bottom w:w="80" w:type="dxa"/>
              <w:end w:w="120" w:type="dxa"/>
            </w:tcMar>
          </w:tcPr>
          <w:p>
            <w:pPr>
              <w:jc w:val="left"/>
            </w:pPr>
            <w:r>
              <w:t>21 Jul, 18:00</w:t>
            </w:r>
          </w:p>
        </w:tc>
      </w:tr>
      <w:tr>
        <w:trPr>
          <w:trHeight w:hRule="atLeast"/>
          <w:cantSplit/>
        </w:trPr>
        <w:tc>
          <w:tcPr>
            <w:tcW w:type="dxa" w:w="1100"/>
            <w:vAlign w:val="center"/>
            <w:tcMar>
              <w:top w:w="80" w:type="dxa"/>
              <w:start w:w="120" w:type="dxa"/>
              <w:bottom w:w="80" w:type="dxa"/>
              <w:end w:w="120" w:type="dxa"/>
            </w:tcMar>
          </w:tcPr>
          <w:p>
            <w:pPr>
              <w:jc w:val="left"/>
            </w:pPr>
            <w:r>
              <w:t>P0</w:t>
            </w:r>
          </w:p>
        </w:tc>
        <w:tc>
          <w:tcPr>
            <w:tcW w:type="dxa" w:w="3200"/>
            <w:vAlign w:val="center"/>
            <w:tcMar>
              <w:top w:w="80" w:type="dxa"/>
              <w:start w:w="120" w:type="dxa"/>
              <w:bottom w:w="80" w:type="dxa"/>
              <w:end w:w="120" w:type="dxa"/>
            </w:tcMar>
          </w:tcPr>
          <w:p>
            <w:pPr>
              <w:jc w:val="left"/>
            </w:pPr>
            <w:r>
              <w:t>Run final checks and submit.</w:t>
            </w:r>
          </w:p>
        </w:tc>
        <w:tc>
          <w:tcPr>
            <w:tcW w:type="dxa" w:w="3460"/>
            <w:vAlign w:val="center"/>
            <w:tcMar>
              <w:top w:w="80" w:type="dxa"/>
              <w:start w:w="120" w:type="dxa"/>
              <w:bottom w:w="80" w:type="dxa"/>
              <w:end w:w="120" w:type="dxa"/>
            </w:tcMar>
          </w:tcPr>
          <w:p>
            <w:pPr>
              <w:jc w:val="left"/>
            </w:pPr>
            <w:r>
              <w:t>Devpost preview contains repository URL, build access, video, session ID, category, description, and images.</w:t>
            </w:r>
          </w:p>
        </w:tc>
        <w:tc>
          <w:tcPr>
            <w:tcW w:type="dxa" w:w="1600"/>
            <w:vAlign w:val="center"/>
            <w:tcMar>
              <w:top w:w="80" w:type="dxa"/>
              <w:start w:w="120" w:type="dxa"/>
              <w:bottom w:w="80" w:type="dxa"/>
              <w:end w:w="120" w:type="dxa"/>
            </w:tcMar>
          </w:tcPr>
          <w:p>
            <w:pPr>
              <w:jc w:val="left"/>
            </w:pPr>
            <w:r>
              <w:t>21 Jul, 22:00</w:t>
            </w:r>
          </w:p>
        </w:tc>
      </w:tr>
      <w:tr>
        <w:trPr>
          <w:trHeight w:hRule="atLeast"/>
          <w:cantSplit/>
        </w:trPr>
        <w:tc>
          <w:tcPr>
            <w:tcW w:type="dxa" w:w="1100"/>
            <w:vAlign w:val="center"/>
            <w:tcMar>
              <w:top w:w="80" w:type="dxa"/>
              <w:start w:w="120" w:type="dxa"/>
              <w:bottom w:w="80" w:type="dxa"/>
              <w:end w:w="120" w:type="dxa"/>
            </w:tcMar>
          </w:tcPr>
          <w:p>
            <w:pPr>
              <w:jc w:val="left"/>
            </w:pPr>
            <w:r>
              <w:t>Buffer</w:t>
            </w:r>
          </w:p>
        </w:tc>
        <w:tc>
          <w:tcPr>
            <w:tcW w:type="dxa" w:w="3200"/>
            <w:vAlign w:val="center"/>
            <w:tcMar>
              <w:top w:w="80" w:type="dxa"/>
              <w:start w:w="120" w:type="dxa"/>
              <w:bottom w:w="80" w:type="dxa"/>
              <w:end w:w="120" w:type="dxa"/>
            </w:tcMar>
          </w:tcPr>
          <w:p>
            <w:pPr>
              <w:jc w:val="left"/>
            </w:pPr>
            <w:r>
              <w:t>Fix only submission-blocking defects.</w:t>
            </w:r>
          </w:p>
        </w:tc>
        <w:tc>
          <w:tcPr>
            <w:tcW w:type="dxa" w:w="3460"/>
            <w:vAlign w:val="center"/>
            <w:tcMar>
              <w:top w:w="80" w:type="dxa"/>
              <w:start w:w="120" w:type="dxa"/>
              <w:bottom w:w="80" w:type="dxa"/>
              <w:end w:w="120" w:type="dxa"/>
            </w:tcMar>
          </w:tcPr>
          <w:p>
            <w:pPr>
              <w:jc w:val="left"/>
            </w:pPr>
            <w:r>
              <w:t>Final submission is locked by 21 Jul, 23:30, leaving 2.5 hours of margin.</w:t>
            </w:r>
          </w:p>
        </w:tc>
        <w:tc>
          <w:tcPr>
            <w:tcW w:type="dxa" w:w="1600"/>
            <w:vAlign w:val="center"/>
            <w:tcMar>
              <w:top w:w="80" w:type="dxa"/>
              <w:start w:w="120" w:type="dxa"/>
              <w:bottom w:w="80" w:type="dxa"/>
              <w:end w:w="120" w:type="dxa"/>
            </w:tcMar>
          </w:tcPr>
          <w:p>
            <w:pPr>
              <w:jc w:val="left"/>
            </w:pPr>
            <w:r>
              <w:t>21 Jul, 23:30</w:t>
            </w:r>
          </w:p>
        </w:tc>
      </w:tr>
    </w:tbl>
    <w:p>
      <w:pPr>
        <w:pStyle w:val="Heading2"/>
        <w:keepNext/>
      </w:pPr>
      <w:r>
        <w:t>The meaningful GPT-5.6 task</w:t>
      </w:r>
    </w:p>
    <w:tbl>
      <w:tblPr>
        <w:tblStyle w:val="TableGrid"/>
        <w:tblW w:type="dxa" w:w="9360"/>
        <w:jc w:val="center"/>
        <w:tblLayout w:type="fixed"/>
        <w:tblLook w:firstColumn="1" w:firstRow="1" w:lastColumn="0" w:lastRow="0" w:noHBand="0" w:noVBand="1" w:val="04A0"/>
        <w:tblInd w:w="120" w:type="dxa"/>
      </w:tblPr>
      <w:tblGrid>
        <w:gridCol w:w="9360"/>
      </w:tblGrid>
      <w:tr>
        <w:trPr>
          <w:trHeight w:hRule="atLeast"/>
          <w:cantSplit/>
          <w:tblHeader w:val="true"/>
        </w:trPr>
        <w:tc>
          <w:tcPr>
            <w:tcW w:type="dxa" w:w="9360"/>
            <w:vAlign w:val="center"/>
            <w:tcMar>
              <w:top w:w="80" w:type="dxa"/>
              <w:start w:w="120" w:type="dxa"/>
              <w:bottom w:w="80" w:type="dxa"/>
              <w:end w:w="120" w:type="dxa"/>
            </w:tcMar>
            <w:shd w:fill="EAF2F8"/>
          </w:tcPr>
          <w:p>
            <w:pPr>
              <w:spacing w:after="60"/>
              <w:jc w:val="left"/>
            </w:pPr>
            <w:r>
              <w:rPr>
                <w:b/>
                <w:color w:val="17324D"/>
              </w:rPr>
              <w:t>Recommended final task</w:t>
            </w:r>
          </w:p>
          <w:p>
            <w:pPr>
              <w:spacing w:after="0"/>
            </w:pPr>
            <w:r>
              <w:t>Use GPT-5.6 through Codex Dirigent to add durable Inbox persistence and conversation recovery, including focused tests and migration-safe startup behavior. This is visible, responds to a real current limitation, and strengthens the demo. If time is too tight, use GPT-5.6 for a narrower but still substantive reliability fix and document it precisely.</w:t>
            </w:r>
          </w:p>
        </w:tc>
      </w:tr>
    </w:tbl>
    <w:p>
      <w:pPr>
        <w:spacing w:after="0" w:line="60" w:lineRule="exact"/>
      </w:pPr>
      <w:r>
        <w:rPr>
          <w:sz w:val="6"/>
        </w:rPr>
      </w:r>
    </w:p>
    <w:p>
      <w:pPr>
        <w:keepLines w:val="0"/>
        <w:spacing w:after="120"/>
      </w:pPr>
      <w:r>
        <w:t>Official Codex configuration documentation shows `model = "gpt-5.6"`. Codex Dirigent already passes its model setting to the CLI; confirm the active model in run/session evidence rather than assuming a blank setting inherits it.</w:t>
      </w:r>
    </w:p>
    <w:p>
      <w:pPr>
        <w:pStyle w:val="Heading2"/>
        <w:keepNext/>
      </w:pPr>
      <w:r>
        <w:t>Release recommendation</w:t>
      </w:r>
    </w:p>
    <w:p>
      <w:pPr>
        <w:keepLines w:val="0"/>
        <w:spacing w:after="120"/>
      </w:pPr>
      <w:r>
        <w:t>Publish a GitHub Release containing a zipped `Codex Dirigent.app` and SHA-256 checksum. A Developer ID signature and notarization are preferable; if unavailable, label the build honestly as ad-hoc signed and give exact macOS open instructions. Test on the same architecture judges are told is supported. Do not claim Intel validation unless it was actually exercised.</w:t>
      </w:r>
    </w:p>
    <w:p>
      <w:pPr>
        <w:pStyle w:val="Heading1"/>
        <w:keepNext/>
      </w:pPr>
      <w:r>
        <w:t>7. Risks, limitations, and evidence</w:t>
      </w:r>
    </w:p>
    <w:p>
      <w:pPr>
        <w:pStyle w:val="Heading2"/>
        <w:keepNext/>
      </w:pPr>
      <w:r>
        <w:t>Known limitations to disclose</w:t>
      </w:r>
    </w:p>
    <w:p>
      <w:pPr>
        <w:pStyle w:val="ListBullet"/>
        <w:spacing w:after="80"/>
        <w:numPr>
          <w:ilvl w:val="0"/>
          <w:numId w:val="1"/>
        </w:numPr>
      </w:pPr>
      <w:r>
        <w:t>macOS-only initial release; no currently published signed/notarized build.</w:t>
      </w:r>
    </w:p>
    <w:p>
      <w:pPr>
        <w:pStyle w:val="ListBullet"/>
        <w:spacing w:after="80"/>
        <w:numPr>
          <w:ilvl w:val="0"/>
          <w:numId w:val="1"/>
        </w:numPr>
      </w:pPr>
      <w:r>
        <w:t>Inbox-only cues are session-local. Started cue worktrees recover after restart, but original instructions and conversation history do not.</w:t>
      </w:r>
    </w:p>
    <w:p>
      <w:pPr>
        <w:pStyle w:val="ListBullet"/>
        <w:spacing w:after="80"/>
        <w:numPr>
          <w:ilvl w:val="0"/>
          <w:numId w:val="1"/>
        </w:numPr>
      </w:pPr>
      <w:r>
        <w:t>The primary worktree must be clean and on a branch named `main` when cues are created or merged.</w:t>
      </w:r>
    </w:p>
    <w:p>
      <w:pPr>
        <w:pStyle w:val="ListBullet"/>
        <w:spacing w:after="80"/>
        <w:numPr>
          <w:ilvl w:val="0"/>
          <w:numId w:val="1"/>
        </w:numPr>
      </w:pPr>
      <w:r>
        <w:t>Merge conflicts are prevented from mutating main, but they are not automatically resolved.</w:t>
      </w:r>
    </w:p>
    <w:p>
      <w:pPr>
        <w:pStyle w:val="ListBullet"/>
        <w:spacing w:after="80"/>
        <w:numPr>
          <w:ilvl w:val="0"/>
          <w:numId w:val="1"/>
        </w:numPr>
      </w:pPr>
      <w:r>
        <w:t>File browsing is capped at 20,000 files and 2 MiB UTF-8 text per file.</w:t>
      </w:r>
    </w:p>
    <w:p>
      <w:pPr>
        <w:pStyle w:val="Heading2"/>
        <w:keepNext/>
      </w:pPr>
      <w:r>
        <w:t>Evidence already present</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rHeight w:hRule="atLeast"/>
          <w:tblHeader w:val="true"/>
          <w:cantSplit/>
        </w:trPr>
        <w:tc>
          <w:tcPr>
            <w:tcW w:type="dxa" w:w="2600"/>
            <w:shd w:fill="F2F4F7"/>
            <w:vAlign w:val="center"/>
            <w:tcMar>
              <w:top w:w="80" w:type="dxa"/>
              <w:start w:w="120" w:type="dxa"/>
              <w:bottom w:w="80" w:type="dxa"/>
              <w:end w:w="120" w:type="dxa"/>
            </w:tcMar>
          </w:tcPr>
          <w:p>
            <w:pPr>
              <w:jc w:val="left"/>
            </w:pPr>
            <w:r>
              <w:rPr>
                <w:b/>
              </w:rPr>
              <w:t>Evidence</w:t>
            </w:r>
          </w:p>
        </w:tc>
        <w:tc>
          <w:tcPr>
            <w:tcW w:type="dxa" w:w="6760"/>
            <w:shd w:fill="F2F4F7"/>
            <w:vAlign w:val="center"/>
            <w:tcMar>
              <w:top w:w="80" w:type="dxa"/>
              <w:start w:w="120" w:type="dxa"/>
              <w:bottom w:w="80" w:type="dxa"/>
              <w:end w:w="120" w:type="dxa"/>
            </w:tcMar>
          </w:tcPr>
          <w:p>
            <w:pPr>
              <w:jc w:val="left"/>
            </w:pPr>
            <w:r>
              <w:rPr>
                <w:b/>
              </w:rPr>
              <w:t>Location / proof</w:t>
            </w:r>
          </w:p>
        </w:tc>
      </w:tr>
      <w:tr>
        <w:trPr>
          <w:trHeight w:hRule="atLeast"/>
          <w:cantSplit/>
        </w:trPr>
        <w:tc>
          <w:tcPr>
            <w:tcW w:type="dxa" w:w="2600"/>
            <w:vAlign w:val="center"/>
            <w:tcMar>
              <w:top w:w="80" w:type="dxa"/>
              <w:start w:w="120" w:type="dxa"/>
              <w:bottom w:w="80" w:type="dxa"/>
              <w:end w:w="120" w:type="dxa"/>
            </w:tcMar>
          </w:tcPr>
          <w:p>
            <w:pPr>
              <w:jc w:val="left"/>
            </w:pPr>
            <w:r>
              <w:t>Submission-period development</w:t>
            </w:r>
          </w:p>
        </w:tc>
        <w:tc>
          <w:tcPr>
            <w:tcW w:type="dxa" w:w="6760"/>
            <w:vAlign w:val="center"/>
            <w:tcMar>
              <w:top w:w="80" w:type="dxa"/>
              <w:start w:w="120" w:type="dxa"/>
              <w:bottom w:w="80" w:type="dxa"/>
              <w:end w:w="120" w:type="dxa"/>
            </w:tcMar>
          </w:tcPr>
          <w:p>
            <w:pPr>
              <w:jc w:val="left"/>
            </w:pPr>
            <w:r>
              <w:t>Git history: 23 commits from 18–20 July 2026.</w:t>
            </w:r>
          </w:p>
        </w:tc>
      </w:tr>
      <w:tr>
        <w:trPr>
          <w:trHeight w:hRule="atLeast"/>
          <w:cantSplit/>
        </w:trPr>
        <w:tc>
          <w:tcPr>
            <w:tcW w:type="dxa" w:w="2600"/>
            <w:vAlign w:val="center"/>
            <w:tcMar>
              <w:top w:w="80" w:type="dxa"/>
              <w:start w:w="120" w:type="dxa"/>
              <w:bottom w:w="80" w:type="dxa"/>
              <w:end w:w="120" w:type="dxa"/>
            </w:tcMar>
          </w:tcPr>
          <w:p>
            <w:pPr>
              <w:jc w:val="left"/>
            </w:pPr>
            <w:r>
              <w:t>Clean-start boundaries</w:t>
            </w:r>
          </w:p>
        </w:tc>
        <w:tc>
          <w:tcPr>
            <w:tcW w:type="dxa" w:w="6760"/>
            <w:vAlign w:val="center"/>
            <w:tcMar>
              <w:top w:w="80" w:type="dxa"/>
              <w:start w:w="120" w:type="dxa"/>
              <w:bottom w:w="80" w:type="dxa"/>
              <w:end w:w="120" w:type="dxa"/>
            </w:tcMar>
          </w:tcPr>
          <w:p>
            <w:pPr>
              <w:jc w:val="left"/>
            </w:pPr>
            <w:r>
              <w:t>`docs/reference-audit.md`: retained workflows, excluded providers/VCS/remote features, module/test mapping.</w:t>
            </w:r>
          </w:p>
        </w:tc>
      </w:tr>
      <w:tr>
        <w:trPr>
          <w:trHeight w:hRule="atLeast"/>
          <w:cantSplit/>
        </w:trPr>
        <w:tc>
          <w:tcPr>
            <w:tcW w:type="dxa" w:w="2600"/>
            <w:vAlign w:val="center"/>
            <w:tcMar>
              <w:top w:w="80" w:type="dxa"/>
              <w:start w:w="120" w:type="dxa"/>
              <w:bottom w:w="80" w:type="dxa"/>
              <w:end w:w="120" w:type="dxa"/>
            </w:tcMar>
          </w:tcPr>
          <w:p>
            <w:pPr>
              <w:jc w:val="left"/>
            </w:pPr>
            <w:r>
              <w:t>Runnable workflow</w:t>
            </w:r>
          </w:p>
        </w:tc>
        <w:tc>
          <w:tcPr>
            <w:tcW w:type="dxa" w:w="6760"/>
            <w:vAlign w:val="center"/>
            <w:tcMar>
              <w:top w:w="80" w:type="dxa"/>
              <w:start w:w="120" w:type="dxa"/>
              <w:bottom w:w="80" w:type="dxa"/>
              <w:end w:w="120" w:type="dxa"/>
            </w:tcMar>
          </w:tcPr>
          <w:p>
            <w:pPr>
              <w:jc w:val="left"/>
            </w:pPr>
            <w:r>
              <w:t>`README.md`: open → browse → Inbox → Run → Review → follow-up → accept/reject → commit/merge.</w:t>
            </w:r>
          </w:p>
        </w:tc>
      </w:tr>
      <w:tr>
        <w:trPr>
          <w:trHeight w:hRule="atLeast"/>
          <w:cantSplit/>
        </w:trPr>
        <w:tc>
          <w:tcPr>
            <w:tcW w:type="dxa" w:w="2600"/>
            <w:vAlign w:val="center"/>
            <w:tcMar>
              <w:top w:w="80" w:type="dxa"/>
              <w:start w:w="120" w:type="dxa"/>
              <w:bottom w:w="80" w:type="dxa"/>
              <w:end w:w="120" w:type="dxa"/>
            </w:tcMar>
          </w:tcPr>
          <w:p>
            <w:pPr>
              <w:jc w:val="left"/>
            </w:pPr>
            <w:r>
              <w:t>Automated verification</w:t>
            </w:r>
          </w:p>
        </w:tc>
        <w:tc>
          <w:tcPr>
            <w:tcW w:type="dxa" w:w="6760"/>
            <w:vAlign w:val="center"/>
            <w:tcMar>
              <w:top w:w="80" w:type="dxa"/>
              <w:start w:w="120" w:type="dxa"/>
              <w:bottom w:w="80" w:type="dxa"/>
              <w:end w:w="120" w:type="dxa"/>
            </w:tcMar>
          </w:tcPr>
          <w:p>
            <w:pPr>
              <w:jc w:val="left"/>
            </w:pPr>
            <w:r>
              <w:t>`docs/verification.md`, unit tests, and `tests/workflow.rs`, including concurrent worktree merge coverage.</w:t>
            </w:r>
          </w:p>
        </w:tc>
      </w:tr>
      <w:tr>
        <w:trPr>
          <w:trHeight w:hRule="atLeast"/>
          <w:cantSplit/>
        </w:trPr>
        <w:tc>
          <w:tcPr>
            <w:tcW w:type="dxa" w:w="2600"/>
            <w:vAlign w:val="center"/>
            <w:tcMar>
              <w:top w:w="80" w:type="dxa"/>
              <w:start w:w="120" w:type="dxa"/>
              <w:bottom w:w="80" w:type="dxa"/>
              <w:end w:w="120" w:type="dxa"/>
            </w:tcMar>
          </w:tcPr>
          <w:p>
            <w:pPr>
              <w:jc w:val="left"/>
            </w:pPr>
            <w:r>
              <w:t>Distribution path</w:t>
            </w:r>
          </w:p>
        </w:tc>
        <w:tc>
          <w:tcPr>
            <w:tcW w:type="dxa" w:w="6760"/>
            <w:vAlign w:val="center"/>
            <w:tcMar>
              <w:top w:w="80" w:type="dxa"/>
              <w:start w:w="120" w:type="dxa"/>
              <w:bottom w:w="80" w:type="dxa"/>
              <w:end w:w="120" w:type="dxa"/>
            </w:tcMar>
          </w:tcPr>
          <w:p>
            <w:pPr>
              <w:jc w:val="left"/>
            </w:pPr>
            <w:r>
              <w:t>`scripts/bundle-macos.sh` and `packaging/Info.plist`; build publication remains outstanding.</w:t>
            </w:r>
          </w:p>
        </w:tc>
      </w:tr>
      <w:tr>
        <w:trPr>
          <w:trHeight w:hRule="atLeast"/>
          <w:cantSplit/>
        </w:trPr>
        <w:tc>
          <w:tcPr>
            <w:tcW w:type="dxa" w:w="2600"/>
            <w:vAlign w:val="center"/>
            <w:tcMar>
              <w:top w:w="80" w:type="dxa"/>
              <w:start w:w="120" w:type="dxa"/>
              <w:bottom w:w="80" w:type="dxa"/>
              <w:end w:w="120" w:type="dxa"/>
            </w:tcMar>
          </w:tcPr>
          <w:p>
            <w:pPr>
              <w:jc w:val="left"/>
            </w:pPr>
            <w:r>
              <w:t>License</w:t>
            </w:r>
          </w:p>
        </w:tc>
        <w:tc>
          <w:tcPr>
            <w:tcW w:type="dxa" w:w="6760"/>
            <w:vAlign w:val="center"/>
            <w:tcMar>
              <w:top w:w="80" w:type="dxa"/>
              <w:start w:w="120" w:type="dxa"/>
              <w:bottom w:w="80" w:type="dxa"/>
              <w:end w:w="120" w:type="dxa"/>
            </w:tcMar>
          </w:tcPr>
          <w:p>
            <w:pPr>
              <w:jc w:val="left"/>
            </w:pPr>
            <w:r>
              <w:t>MIT `LICENSE` and package metadata.</w:t>
            </w:r>
          </w:p>
        </w:tc>
      </w:tr>
    </w:tbl>
    <w:p>
      <w:pPr>
        <w:pStyle w:val="Heading2"/>
        <w:keepNext/>
      </w:pPr>
      <w:r>
        <w:t>Final submission gate</w:t>
      </w:r>
    </w:p>
    <w:p>
      <w:pPr>
        <w:keepLines w:val="0"/>
        <w:spacing w:after="60"/>
        <w:ind w:left="317" w:hanging="317"/>
      </w:pPr>
      <w:r>
        <w:t>☐ Devpost joined; Developer Tools selected; entrant eligibility confirmed.</w:t>
      </w:r>
    </w:p>
    <w:p>
      <w:pPr>
        <w:keepLines w:val="0"/>
        <w:spacing w:after="60"/>
        <w:ind w:left="317" w:hanging="317"/>
      </w:pPr>
      <w:r>
        <w:t>☐ GPT-5.6 used for a meaningful, documented task; claim is accurate and reproducible.</w:t>
      </w:r>
    </w:p>
    <w:p>
      <w:pPr>
        <w:keepLines w:val="0"/>
        <w:spacing w:after="60"/>
        <w:ind w:left="317" w:hanging="317"/>
      </w:pPr>
      <w:r>
        <w:t>☐ Primary Codex `/feedback` session ID recorded.</w:t>
      </w:r>
    </w:p>
    <w:p>
      <w:pPr>
        <w:keepLines w:val="0"/>
        <w:spacing w:after="60"/>
        <w:ind w:left="317" w:hanging="317"/>
      </w:pPr>
      <w:r>
        <w:t>☐ Repository is public with MIT license, or both judge email addresses have private access.</w:t>
      </w:r>
    </w:p>
    <w:p>
      <w:pPr>
        <w:keepLines w:val="0"/>
        <w:spacing w:after="60"/>
        <w:ind w:left="317" w:hanging="317"/>
      </w:pPr>
      <w:r>
        <w:t>☐ README documents setup, collaboration with Codex, human decisions, GPT-5.6 contribution, platform, and testing.</w:t>
      </w:r>
    </w:p>
    <w:p>
      <w:pPr>
        <w:keepLines w:val="0"/>
        <w:spacing w:after="60"/>
        <w:ind w:left="317" w:hanging="317"/>
      </w:pPr>
      <w:r>
        <w:t>☐ Judge build installs and runs without rebuilding; test access remains free through judging.</w:t>
      </w:r>
    </w:p>
    <w:p>
      <w:pPr>
        <w:keepLines w:val="0"/>
        <w:spacing w:after="60"/>
        <w:ind w:left="317" w:hanging="317"/>
      </w:pPr>
      <w:r>
        <w:t>☐ Public YouTube video is under three minutes, audible, and shows the product functioning.</w:t>
      </w:r>
    </w:p>
    <w:p>
      <w:pPr>
        <w:keepLines w:val="0"/>
        <w:spacing w:after="60"/>
        <w:ind w:left="317" w:hanging="317"/>
      </w:pPr>
      <w:r>
        <w:t>☐ All URLs tested while signed out; submission preview checked; final entry submitted before the buffer cutoff.</w:t>
      </w:r>
    </w:p>
    <w:p>
      <w:pPr>
        <w:pStyle w:val="Heading2"/>
        <w:keepNext/>
      </w:pPr>
      <w:r>
        <w:t>Bottom line</w:t>
      </w:r>
    </w:p>
    <w:tbl>
      <w:tblPr>
        <w:tblStyle w:val="TableGrid"/>
        <w:tblW w:type="dxa" w:w="9360"/>
        <w:jc w:val="center"/>
        <w:tblLayout w:type="fixed"/>
        <w:tblLook w:firstColumn="1" w:firstRow="1" w:lastColumn="0" w:lastRow="0" w:noHBand="0" w:noVBand="1" w:val="04A0"/>
        <w:tblInd w:w="120" w:type="dxa"/>
      </w:tblPr>
      <w:tblGrid>
        <w:gridCol w:w="9360"/>
      </w:tblGrid>
      <w:tr>
        <w:trPr>
          <w:trHeight w:hRule="atLeast"/>
          <w:cantSplit/>
          <w:tblHeader w:val="true"/>
        </w:trPr>
        <w:tc>
          <w:tcPr>
            <w:tcW w:type="dxa" w:w="9360"/>
            <w:vAlign w:val="center"/>
            <w:tcMar>
              <w:top w:w="80" w:type="dxa"/>
              <w:start w:w="120" w:type="dxa"/>
              <w:bottom w:w="80" w:type="dxa"/>
              <w:end w:w="120" w:type="dxa"/>
            </w:tcMar>
            <w:shd w:fill="D9EAD3"/>
          </w:tcPr>
          <w:p>
            <w:pPr>
              <w:spacing w:after="60"/>
              <w:jc w:val="left"/>
            </w:pPr>
            <w:r>
              <w:rPr>
                <w:b/>
                <w:color w:val="17324D"/>
              </w:rPr>
              <w:t>Strong product fit; urgent evidence gap.</w:t>
            </w:r>
          </w:p>
          <w:p>
            <w:pPr>
              <w:spacing w:after="0"/>
            </w:pPr>
            <w:r>
              <w:t>Codex Dirigent has a better-than-average Build Week story because the architecture itself embodies controlled Codex use. The best next move is to stop feature expansion, use GPT-5.6 for one real final improvement, package the app, and make the evidence easy for judges to verify.</w:t>
            </w:r>
          </w:p>
        </w:tc>
      </w:tr>
    </w:tbl>
    <w:p>
      <w:pPr>
        <w:spacing w:after="0" w:line="60" w:lineRule="exact"/>
      </w:pPr>
      <w:r>
        <w:rPr>
          <w:sz w:val="6"/>
        </w:rPr>
      </w:r>
    </w:p>
    <w:p>
      <w:pPr>
        <w:pStyle w:val="Heading1"/>
        <w:keepNext/>
      </w:pPr>
      <w:r>
        <w:t>8. Sources and assessment basis</w:t>
      </w:r>
    </w:p>
    <w:p>
      <w:pPr>
        <w:keepLines w:val="0"/>
        <w:spacing w:after="120"/>
      </w:pPr>
      <w:r>
        <w:t>Official sources were reviewed on 20 July 2026. The Official Rules and the Hackathon Website govern if any summary in this brief conflicts with them.</w:t>
      </w:r>
    </w:p>
    <w:p>
      <w:pPr>
        <w:spacing w:after="80"/>
      </w:pPr>
      <w:r>
        <w:rPr>
          <w:b/>
        </w:rPr>
        <w:t xml:space="preserve">OpenAI Build Week overview: </w:t>
      </w:r>
      <w:hyperlink r:id="rId11">
        <w:r>
          <w:rPr>
            <w:color w:val="2E74B5"/>
            <w:u w:val="single"/>
          </w:rPr>
          <w:t>View source</w:t>
        </w:r>
      </w:hyperlink>
      <w:r>
        <w:t xml:space="preserve"> — deadline, tracks, submission artifacts, prizes, and judging criteria</w:t>
      </w:r>
    </w:p>
    <w:p>
      <w:pPr>
        <w:spacing w:after="80"/>
      </w:pPr>
      <w:r>
        <w:rPr>
          <w:b/>
        </w:rPr>
        <w:t xml:space="preserve">Official Rules: </w:t>
      </w:r>
      <w:hyperlink r:id="rId12">
        <w:r>
          <w:rPr>
            <w:color w:val="2E74B5"/>
            <w:u w:val="single"/>
          </w:rPr>
          <w:t>View source</w:t>
        </w:r>
      </w:hyperlink>
      <w:r>
        <w:t xml:space="preserve"> — eligibility, submission period, existing-project evidence, testing access, video, repository, and judging requirements</w:t>
      </w:r>
    </w:p>
    <w:p>
      <w:pPr>
        <w:spacing w:after="80"/>
      </w:pPr>
      <w:r>
        <w:rPr>
          <w:b/>
        </w:rPr>
        <w:t xml:space="preserve">Codex configuration basics: </w:t>
      </w:r>
      <w:hyperlink r:id="rId13">
        <w:r>
          <w:rPr>
            <w:color w:val="2E74B5"/>
            <w:u w:val="single"/>
          </w:rPr>
          <w:t>View source</w:t>
        </w:r>
      </w:hyperlink>
      <w:r>
        <w:t xml:space="preserve"> — official default-model example using `model = "gpt-5.6"`</w:t>
      </w:r>
    </w:p>
    <w:p>
      <w:pPr>
        <w:spacing w:after="80"/>
      </w:pPr>
      <w:r>
        <w:rPr>
          <w:b/>
        </w:rPr>
        <w:t xml:space="preserve">OpenAI code generation guide: </w:t>
      </w:r>
      <w:hyperlink r:id="rId14">
        <w:r>
          <w:rPr>
            <w:color w:val="2E74B5"/>
            <w:u w:val="single"/>
          </w:rPr>
          <w:t>View source</w:t>
        </w:r>
      </w:hyperlink>
      <w:r>
        <w:t xml:space="preserve"> — official overview of code generation with GPT-5.6 and Codex</w:t>
      </w:r>
    </w:p>
    <w:p>
      <w:pPr>
        <w:pStyle w:val="Heading2"/>
        <w:keepNext/>
      </w:pPr>
      <w:r>
        <w:t>Local repository basis</w:t>
      </w:r>
    </w:p>
    <w:p>
      <w:pPr>
        <w:keepLines w:val="0"/>
        <w:spacing w:after="120"/>
      </w:pPr>
      <w:r>
        <w:t>Repository inspected: `/Users/lars/prj/codex-dirigent` at commit `3f6ecf42e87947a30de642a5cfeee4c8055e8a6b`. Inspection included Git status and history, remote configuration, README, Cargo manifest, reference audit, verification record, cue/Codex/Git/review/settings modules, and workflow tests. The primary worktree was clean when assessed. No remote was configured.</w:t>
      </w:r>
    </w:p>
    <w:p>
      <w:pPr>
        <w:pStyle w:val="Heading2"/>
        <w:keepNext/>
      </w:pPr>
      <w:r>
        <w:t>Assumptions requiring owner confirmation</w:t>
      </w:r>
    </w:p>
    <w:p>
      <w:pPr>
        <w:pStyle w:val="ListBullet"/>
        <w:spacing w:after="80"/>
        <w:numPr>
          <w:ilvl w:val="0"/>
          <w:numId w:val="1"/>
        </w:numPr>
      </w:pPr>
      <w:r>
        <w:t>Entrant identity, legal-age and conflict-of-interest eligibility.</w:t>
      </w:r>
    </w:p>
    <w:p>
      <w:pPr>
        <w:pStyle w:val="ListBullet"/>
        <w:spacing w:after="80"/>
        <w:numPr>
          <w:ilvl w:val="0"/>
          <w:numId w:val="1"/>
        </w:numPr>
      </w:pPr>
      <w:r>
        <w:t>Whether the Devpost hackathon has already been joined and a draft submission created.</w:t>
      </w:r>
    </w:p>
    <w:p>
      <w:pPr>
        <w:pStyle w:val="ListBullet"/>
        <w:spacing w:after="80"/>
        <w:numPr>
          <w:ilvl w:val="0"/>
          <w:numId w:val="1"/>
        </w:numPr>
      </w:pPr>
      <w:r>
        <w:t>Which Codex thread contains the majority of core implementation and can supply the required `/feedback` ID.</w:t>
      </w:r>
    </w:p>
    <w:p>
      <w:pPr>
        <w:pStyle w:val="ListBullet"/>
        <w:spacing w:after="80"/>
        <w:numPr>
          <w:ilvl w:val="0"/>
          <w:numId w:val="1"/>
        </w:numPr>
      </w:pPr>
      <w:r>
        <w:t>Availability of GitHub hosting, Apple signing/notarization credentials, and an appropriate Mac for clean-install testing.</w:t>
      </w:r>
    </w:p>
    <w:p>
      <w:pPr>
        <w:pStyle w:val="ListBullet"/>
        <w:spacing w:after="80"/>
        <w:numPr>
          <w:ilvl w:val="0"/>
          <w:numId w:val="1"/>
        </w:numPr>
      </w:pPr>
      <w:r>
        <w:t>Ownership or permitted use of all product artwork and any content shown in the video.</w:t>
      </w:r>
    </w:p>
    <w:p>
      <w:pPr>
        <w:keepLines w:val="0"/>
        <w:spacing w:after="0"/>
      </w:pPr>
      <w:r>
        <w:t>Prepared as a practical participation and submission brief. Verify final requirements directly against the Official Rules immediately before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667085"/>
        <w:sz w:val="18"/>
      </w:rPr>
      <w:t>CODEX DIRIGENT  /  OPENAI BUILD WEEK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72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i.devpost.com/" TargetMode="External"/><Relationship Id="rId12" Type="http://schemas.openxmlformats.org/officeDocument/2006/relationships/hyperlink" Target="https://openai.devpost.com/rules" TargetMode="External"/><Relationship Id="rId13" Type="http://schemas.openxmlformats.org/officeDocument/2006/relationships/hyperlink" Target="https://learn.chatgpt.com/docs/config-file/config-basic#default-model" TargetMode="External"/><Relationship Id="rId14" Type="http://schemas.openxmlformats.org/officeDocument/2006/relationships/hyperlink" Target="https://developers.openai.com/api/docs/guides/code-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Dirigent — OpenAI Build Week Participation Brief</dc:title>
  <dc:subject>Developer Tools participation decision, readiness, submission copy, demo script, and deadline plan</dc:subject>
  <dc:creator>Codex Dirigent</dc:creator>
  <cp:keywords>Codex Dirigent, OpenAI Build Week, Devpost, Codex, GPT-5.6, Developer Tools</cp:keywords>
  <dc:description>Prepared from official event materials and local repository evidence reviewed 20 July 2026.</dc:description>
  <cp:lastModifiedBy/>
  <cp:revision>1</cp:revision>
  <dcterms:created xsi:type="dcterms:W3CDTF">2013-12-23T23:15:00Z</dcterms:created>
  <dcterms:modified xsi:type="dcterms:W3CDTF">2013-12-23T23:15:00Z</dcterms:modified>
  <cp:category/>
</cp:coreProperties>
</file>