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AI와 함께하는 교통문제 해결을 위한 데이터 분석 공모전</w:t>
      </w:r>
    </w:p>
    <w:p>
      <w:pPr>
        <w:spacing w:after="60"/>
        <w:jc w:val="center"/>
      </w:pPr>
      <w:r>
        <w:rPr>
          <w:b/>
          <w:bCs/>
          <w:sz w:val="30"/>
          <w:szCs w:val="30"/>
        </w:rPr>
        <w:t xml:space="preserve">도로교통법 관련 조문 24선 — 공모전 연계 전략</w:t>
      </w:r>
    </w:p>
    <w:p>
      <w:pPr>
        <w:spacing w:after="300"/>
        <w:jc w:val="center"/>
      </w:pPr>
      <w:r>
        <w:rPr>
          <w:color w:val="555555"/>
          <w:sz w:val="20"/>
          <w:szCs w:val="20"/>
        </w:rPr>
        <w:t xml:space="preserve">주최: (사)숲과나눔  |  접수: 2026.8.18.(화) ~ 10.22.(목)  |  자료: 국가법령정보센터 도로교통법 [시행 2026.7.1.] [법률 제21246호]</w:t>
      </w:r>
    </w:p>
    <w:p>
      <w:pPr>
        <w:pStyle w:val="Heading1"/>
        <w:spacing w:after="160" w:before="360"/>
      </w:pPr>
      <w:r>
        <w:t xml:space="preserve">공모전 개요</w:t>
      </w:r>
    </w:p>
    <w:p>
      <w:pPr>
        <w:spacing w:after="140"/>
      </w:pPr>
      <w:r>
        <w:t xml:space="preserve">교통은 일자리·교육·의료·문화생활 등 삶의 기회와 직결되지만, 대중교통이 부족한 지역, 보행·자전거 이동이 어려운 환경, 교통약자가 겪는 불편 등 이동의 격차는 여전히 존재합니다. 오늘날 교통정책은 자동차 중심에서 사람 중심 이동, 지속가능성, 사회적 형평성을 중시하는 방향으로 전환되고 있으며, 수송부문 온실가스의 약 97%가 도로교통에서 발생하는 만큼 탄소중립을 위한 교통체계의 근본적 변화가 요구됩니다. 이번 공모전은 AI와 데이터를 활용해 기존 정책에서 드러나지 않은 교통문제를 발견하고, 이동의 격차를 줄이며 탄소중립에 기여할 정책 아이디어를 제안하는 것을 목표로 합니다.</w:t>
      </w:r>
    </w:p>
    <w:p>
      <w:pPr>
        <w:spacing w:after="140"/>
      </w:pPr>
      <w:r>
        <w:rPr>
          <w:i/>
          <w:iCs/>
          <w:color w:val="555555"/>
        </w:rPr>
        <w:t xml:space="preserve">본 문서는 이 취지에 맞춰 도로교통법 전체 214개 조문 중 공모전 주제와 직접 관련된 24개 조문을 6개 테마로 묶고, 각 조문을 실제 데이터 분석·정책 제안으로 어떻게 연결할 수 있는지 정리한 자료입니다.</w:t>
      </w:r>
    </w:p>
    <w:p>
      <w:pPr>
        <w:pBdr>
          <w:bottom w:val="single" w:color="999999" w:sz="6" w:space="1"/>
        </w:pBdr>
        <w:spacing w:after="200"/>
      </w:pPr>
    </w:p>
    <w:p>
      <w:pPr>
        <w:pStyle w:val="Heading1"/>
        <w:spacing w:after="160" w:before="360"/>
      </w:pPr>
      <w:r>
        <w:t xml:space="preserve">분석 프레임워크</w:t>
      </w:r>
    </w:p>
    <w:p>
      <w:pPr>
        <w:spacing w:after="140"/>
      </w:pPr>
      <w:r>
        <w:t xml:space="preserve">각 테마는 다음 3단계로 구성됩니다.</w:t>
      </w:r>
    </w:p>
    <w:p>
      <w:pPr>
        <w:pStyle w:val="ListParagraph"/>
        <w:numPr>
          <w:ilvl w:val="0"/>
          <w:numId w:val="1"/>
        </w:numPr>
        <w:spacing w:after="80"/>
      </w:pPr>
      <w:r>
        <w:t xml:space="preserve">관련 조문 — 도로교통법상 근거 조문과 핵심 내용 요약</w:t>
      </w:r>
    </w:p>
    <w:p>
      <w:pPr>
        <w:pStyle w:val="ListParagraph"/>
        <w:numPr>
          <w:ilvl w:val="0"/>
          <w:numId w:val="1"/>
        </w:numPr>
        <w:spacing w:after="80"/>
      </w:pPr>
      <w:r>
        <w:t xml:space="preserve">문제의식 — 공모전 배경(이동격차·탄소중립·사람 중심 이동)과의 접점</w:t>
      </w:r>
    </w:p>
    <w:p>
      <w:pPr>
        <w:pStyle w:val="ListParagraph"/>
        <w:numPr>
          <w:ilvl w:val="0"/>
          <w:numId w:val="1"/>
        </w:numPr>
        <w:spacing w:after="80"/>
      </w:pPr>
      <w:r>
        <w:t xml:space="preserve">연계 아이디어 — 데이터 소스를 결합해 시도해볼 수 있는 분석·정책 제안 방향</w:t>
      </w:r>
    </w:p>
    <w:p>
      <w:r>
        <w:br w:type="page"/>
      </w:r>
    </w:p>
    <w:p>
      <w:pPr>
        <w:pStyle w:val="Heading1"/>
        <w:spacing w:after="160" w:before="360"/>
      </w:pPr>
      <w:r>
        <w:t xml:space="preserve">1. 보행자 통행권 및 혼잡 관리</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제7조</w:t>
            </w:r>
          </w:p>
        </w:tc>
        <w:tc>
          <w:tcPr>
            <w:tcW w:type="dxa" w:w="2600"/>
            <w:tcMar>
              <w:top w:type="dxa" w:w="80"/>
              <w:left w:type="dxa" w:w="100"/>
              <w:bottom w:type="dxa" w:w="80"/>
              <w:right w:type="dxa" w:w="100"/>
            </w:tcMar>
          </w:tcPr>
          <w:p>
            <w:r>
              <w:rPr>
                <w:b w:val="false"/>
                <w:bCs w:val="false"/>
                <w:color w:val="000000"/>
                <w:sz w:val="20"/>
                <w:szCs w:val="20"/>
              </w:rPr>
              <w:t xml:space="preserve">교통 혼잡을 완화시키기 위한 조치</w:t>
            </w:r>
          </w:p>
        </w:tc>
        <w:tc>
          <w:tcPr>
            <w:tcW w:type="dxa" w:w="6300"/>
            <w:tcMar>
              <w:top w:type="dxa" w:w="80"/>
              <w:left w:type="dxa" w:w="100"/>
              <w:bottom w:type="dxa" w:w="80"/>
              <w:right w:type="dxa" w:w="100"/>
            </w:tcMar>
          </w:tcPr>
          <w:p>
            <w:r>
              <w:rPr>
                <w:b w:val="false"/>
                <w:bCs w:val="false"/>
                <w:color w:val="000000"/>
                <w:sz w:val="20"/>
                <w:szCs w:val="20"/>
              </w:rPr>
              <w:t xml:space="preserve">경찰공무원은 보행자·차마·노면전차 통행이 몰려 혼잡이 뚜렷하게 우려될 때 혼잡 완화를 위한 필요 조치를 할 수 있음 (발동 기준은 현장 재량에 의존).</w:t>
            </w:r>
          </w:p>
        </w:tc>
      </w:tr>
      <w:tr>
        <w:tc>
          <w:tcPr>
            <w:tcW w:type="dxa" w:w="1300"/>
            <w:tcMar>
              <w:top w:type="dxa" w:w="80"/>
              <w:left w:type="dxa" w:w="100"/>
              <w:bottom w:type="dxa" w:w="80"/>
              <w:right w:type="dxa" w:w="100"/>
            </w:tcMar>
          </w:tcPr>
          <w:p>
            <w:r>
              <w:rPr>
                <w:b w:val="false"/>
                <w:bCs w:val="false"/>
                <w:color w:val="000000"/>
                <w:sz w:val="20"/>
                <w:szCs w:val="20"/>
              </w:rPr>
              <w:t xml:space="preserve">제8조</w:t>
            </w:r>
          </w:p>
        </w:tc>
        <w:tc>
          <w:tcPr>
            <w:tcW w:type="dxa" w:w="2600"/>
            <w:tcMar>
              <w:top w:type="dxa" w:w="80"/>
              <w:left w:type="dxa" w:w="100"/>
              <w:bottom w:type="dxa" w:w="80"/>
              <w:right w:type="dxa" w:w="100"/>
            </w:tcMar>
          </w:tcPr>
          <w:p>
            <w:r>
              <w:rPr>
                <w:b w:val="false"/>
                <w:bCs w:val="false"/>
                <w:color w:val="000000"/>
                <w:sz w:val="20"/>
                <w:szCs w:val="20"/>
              </w:rPr>
              <w:t xml:space="preserve">보행자의 통행</w:t>
            </w:r>
          </w:p>
        </w:tc>
        <w:tc>
          <w:tcPr>
            <w:tcW w:type="dxa" w:w="6300"/>
            <w:tcMar>
              <w:top w:type="dxa" w:w="80"/>
              <w:left w:type="dxa" w:w="100"/>
              <w:bottom w:type="dxa" w:w="80"/>
              <w:right w:type="dxa" w:w="100"/>
            </w:tcMar>
          </w:tcPr>
          <w:p>
            <w:r>
              <w:rPr>
                <w:b w:val="false"/>
                <w:bCs w:val="false"/>
                <w:color w:val="000000"/>
                <w:sz w:val="20"/>
                <w:szCs w:val="20"/>
              </w:rPr>
              <w:t xml:space="preserve">보도·차도 구분 여부에 따른 보행자 통행 원칙(보도 통행, 우측통행), 중앙선 유무에 따른 예외, 보행자우선도로에서는 도로 전체 통행 허용.</w:t>
            </w:r>
          </w:p>
        </w:tc>
      </w:tr>
      <w:tr>
        <w:tc>
          <w:tcPr>
            <w:tcW w:type="dxa" w:w="1300"/>
            <w:tcMar>
              <w:top w:type="dxa" w:w="80"/>
              <w:left w:type="dxa" w:w="100"/>
              <w:bottom w:type="dxa" w:w="80"/>
              <w:right w:type="dxa" w:w="100"/>
            </w:tcMar>
          </w:tcPr>
          <w:p>
            <w:r>
              <w:rPr>
                <w:b w:val="false"/>
                <w:bCs w:val="false"/>
                <w:color w:val="000000"/>
                <w:sz w:val="20"/>
                <w:szCs w:val="20"/>
              </w:rPr>
              <w:t xml:space="preserve">제27조</w:t>
            </w:r>
          </w:p>
        </w:tc>
        <w:tc>
          <w:tcPr>
            <w:tcW w:type="dxa" w:w="2600"/>
            <w:tcMar>
              <w:top w:type="dxa" w:w="80"/>
              <w:left w:type="dxa" w:w="100"/>
              <w:bottom w:type="dxa" w:w="80"/>
              <w:right w:type="dxa" w:w="100"/>
            </w:tcMar>
          </w:tcPr>
          <w:p>
            <w:r>
              <w:rPr>
                <w:b w:val="false"/>
                <w:bCs w:val="false"/>
                <w:color w:val="000000"/>
                <w:sz w:val="20"/>
                <w:szCs w:val="20"/>
              </w:rPr>
              <w:t xml:space="preserve">보행자의 보호</w:t>
            </w:r>
          </w:p>
        </w:tc>
        <w:tc>
          <w:tcPr>
            <w:tcW w:type="dxa" w:w="6300"/>
            <w:tcMar>
              <w:top w:type="dxa" w:w="80"/>
              <w:left w:type="dxa" w:w="100"/>
              <w:bottom w:type="dxa" w:w="80"/>
              <w:right w:type="dxa" w:w="100"/>
            </w:tcMar>
          </w:tcPr>
          <w:p>
            <w:r>
              <w:rPr>
                <w:b w:val="false"/>
                <w:bCs w:val="false"/>
                <w:color w:val="000000"/>
                <w:sz w:val="20"/>
                <w:szCs w:val="20"/>
              </w:rPr>
              <w:t xml:space="preserve">운전자의 보행자 보호의무(횡단보도 일시정지, 교통정리 없는 도로에서 보행자 우선 등) 규정.</w:t>
            </w:r>
          </w:p>
        </w:tc>
      </w:tr>
      <w:tr>
        <w:tc>
          <w:tcPr>
            <w:tcW w:type="dxa" w:w="1300"/>
            <w:tcMar>
              <w:top w:type="dxa" w:w="80"/>
              <w:left w:type="dxa" w:w="100"/>
              <w:bottom w:type="dxa" w:w="80"/>
              <w:right w:type="dxa" w:w="100"/>
            </w:tcMar>
          </w:tcPr>
          <w:p>
            <w:r>
              <w:rPr>
                <w:b w:val="false"/>
                <w:bCs w:val="false"/>
                <w:color w:val="000000"/>
                <w:sz w:val="20"/>
                <w:szCs w:val="20"/>
              </w:rPr>
              <w:t xml:space="preserve">제28조</w:t>
            </w:r>
          </w:p>
        </w:tc>
        <w:tc>
          <w:tcPr>
            <w:tcW w:type="dxa" w:w="2600"/>
            <w:tcMar>
              <w:top w:type="dxa" w:w="80"/>
              <w:left w:type="dxa" w:w="100"/>
              <w:bottom w:type="dxa" w:w="80"/>
              <w:right w:type="dxa" w:w="100"/>
            </w:tcMar>
          </w:tcPr>
          <w:p>
            <w:r>
              <w:rPr>
                <w:b w:val="false"/>
                <w:bCs w:val="false"/>
                <w:color w:val="000000"/>
                <w:sz w:val="20"/>
                <w:szCs w:val="20"/>
              </w:rPr>
              <w:t xml:space="preserve">보행자전용도로의 설치</w:t>
            </w:r>
          </w:p>
        </w:tc>
        <w:tc>
          <w:tcPr>
            <w:tcW w:type="dxa" w:w="6300"/>
            <w:tcMar>
              <w:top w:type="dxa" w:w="80"/>
              <w:left w:type="dxa" w:w="100"/>
              <w:bottom w:type="dxa" w:w="80"/>
              <w:right w:type="dxa" w:w="100"/>
            </w:tcMar>
          </w:tcPr>
          <w:p>
            <w:r>
              <w:rPr>
                <w:b w:val="false"/>
                <w:bCs w:val="false"/>
                <w:color w:val="000000"/>
                <w:sz w:val="20"/>
                <w:szCs w:val="20"/>
              </w:rPr>
              <w:t xml:space="preserve">보행자만 통행할 수 있는 보행자전용도로의 설치 근거 규정.</w:t>
            </w:r>
          </w:p>
        </w:tc>
      </w:tr>
      <w:tr>
        <w:tc>
          <w:tcPr>
            <w:tcW w:type="dxa" w:w="1300"/>
            <w:tcMar>
              <w:top w:type="dxa" w:w="80"/>
              <w:left w:type="dxa" w:w="100"/>
              <w:bottom w:type="dxa" w:w="80"/>
              <w:right w:type="dxa" w:w="100"/>
            </w:tcMar>
          </w:tcPr>
          <w:p>
            <w:r>
              <w:rPr>
                <w:b w:val="false"/>
                <w:bCs w:val="false"/>
                <w:color w:val="000000"/>
                <w:sz w:val="20"/>
                <w:szCs w:val="20"/>
              </w:rPr>
              <w:t xml:space="preserve">제28조의2</w:t>
            </w:r>
          </w:p>
        </w:tc>
        <w:tc>
          <w:tcPr>
            <w:tcW w:type="dxa" w:w="2600"/>
            <w:tcMar>
              <w:top w:type="dxa" w:w="80"/>
              <w:left w:type="dxa" w:w="100"/>
              <w:bottom w:type="dxa" w:w="80"/>
              <w:right w:type="dxa" w:w="100"/>
            </w:tcMar>
          </w:tcPr>
          <w:p>
            <w:r>
              <w:rPr>
                <w:b w:val="false"/>
                <w:bCs w:val="false"/>
                <w:color w:val="000000"/>
                <w:sz w:val="20"/>
                <w:szCs w:val="20"/>
              </w:rPr>
              <w:t xml:space="preserve">보행자우선도로</w:t>
            </w:r>
          </w:p>
        </w:tc>
        <w:tc>
          <w:tcPr>
            <w:tcW w:type="dxa" w:w="6300"/>
            <w:tcMar>
              <w:top w:type="dxa" w:w="80"/>
              <w:left w:type="dxa" w:w="100"/>
              <w:bottom w:type="dxa" w:w="80"/>
              <w:right w:type="dxa" w:w="100"/>
            </w:tcMar>
          </w:tcPr>
          <w:p>
            <w:r>
              <w:rPr>
                <w:b w:val="false"/>
                <w:bCs w:val="false"/>
                <w:color w:val="000000"/>
                <w:sz w:val="20"/>
                <w:szCs w:val="20"/>
              </w:rPr>
              <w:t xml:space="preserve">보행자우선도로에서 차마 통행속도를 시속 20km 이내로 제한할 수 있는 근거 규정.</w:t>
            </w:r>
          </w:p>
        </w:tc>
      </w:tr>
      <w:tr>
        <w:tc>
          <w:tcPr>
            <w:tcW w:type="dxa" w:w="1300"/>
            <w:tcMar>
              <w:top w:type="dxa" w:w="80"/>
              <w:left w:type="dxa" w:w="100"/>
              <w:bottom w:type="dxa" w:w="80"/>
              <w:right w:type="dxa" w:w="100"/>
            </w:tcMar>
          </w:tcPr>
          <w:p>
            <w:r>
              <w:rPr>
                <w:b w:val="false"/>
                <w:bCs w:val="false"/>
                <w:color w:val="000000"/>
                <w:sz w:val="20"/>
                <w:szCs w:val="20"/>
              </w:rPr>
              <w:t xml:space="preserve">제57조</w:t>
            </w:r>
          </w:p>
        </w:tc>
        <w:tc>
          <w:tcPr>
            <w:tcW w:type="dxa" w:w="2600"/>
            <w:tcMar>
              <w:top w:type="dxa" w:w="80"/>
              <w:left w:type="dxa" w:w="100"/>
              <w:bottom w:type="dxa" w:w="80"/>
              <w:right w:type="dxa" w:w="100"/>
            </w:tcMar>
          </w:tcPr>
          <w:p>
            <w:r>
              <w:rPr>
                <w:b w:val="false"/>
                <w:bCs w:val="false"/>
                <w:color w:val="000000"/>
                <w:sz w:val="20"/>
                <w:szCs w:val="20"/>
              </w:rPr>
              <w:t xml:space="preserve">통칙</w:t>
            </w:r>
          </w:p>
        </w:tc>
        <w:tc>
          <w:tcPr>
            <w:tcW w:type="dxa" w:w="6300"/>
            <w:tcMar>
              <w:top w:type="dxa" w:w="80"/>
              <w:left w:type="dxa" w:w="100"/>
              <w:bottom w:type="dxa" w:w="80"/>
              <w:right w:type="dxa" w:w="100"/>
            </w:tcMar>
          </w:tcPr>
          <w:p>
            <w:r>
              <w:rPr>
                <w:b w:val="false"/>
                <w:bCs w:val="false"/>
                <w:color w:val="000000"/>
                <w:sz w:val="20"/>
                <w:szCs w:val="20"/>
              </w:rPr>
              <w:t xml:space="preserve">고속도로·자동차전용도로에서의 통행방법을 별도 장(章)으로 규정한다는 총칙 조항.</w:t>
            </w:r>
          </w:p>
        </w:tc>
      </w:tr>
      <w:tr>
        <w:tc>
          <w:tcPr>
            <w:tcW w:type="dxa" w:w="1300"/>
            <w:tcMar>
              <w:top w:type="dxa" w:w="80"/>
              <w:left w:type="dxa" w:w="100"/>
              <w:bottom w:type="dxa" w:w="80"/>
              <w:right w:type="dxa" w:w="100"/>
            </w:tcMar>
          </w:tcPr>
          <w:p>
            <w:r>
              <w:rPr>
                <w:b w:val="false"/>
                <w:bCs w:val="false"/>
                <w:color w:val="000000"/>
                <w:sz w:val="20"/>
                <w:szCs w:val="20"/>
              </w:rPr>
              <w:t xml:space="preserve">제63조</w:t>
            </w:r>
          </w:p>
        </w:tc>
        <w:tc>
          <w:tcPr>
            <w:tcW w:type="dxa" w:w="2600"/>
            <w:tcMar>
              <w:top w:type="dxa" w:w="80"/>
              <w:left w:type="dxa" w:w="100"/>
              <w:bottom w:type="dxa" w:w="80"/>
              <w:right w:type="dxa" w:w="100"/>
            </w:tcMar>
          </w:tcPr>
          <w:p>
            <w:r>
              <w:rPr>
                <w:b w:val="false"/>
                <w:bCs w:val="false"/>
                <w:color w:val="000000"/>
                <w:sz w:val="20"/>
                <w:szCs w:val="20"/>
              </w:rPr>
              <w:t xml:space="preserve">통행 등의 금지</w:t>
            </w:r>
          </w:p>
        </w:tc>
        <w:tc>
          <w:tcPr>
            <w:tcW w:type="dxa" w:w="6300"/>
            <w:tcMar>
              <w:top w:type="dxa" w:w="80"/>
              <w:left w:type="dxa" w:w="100"/>
              <w:bottom w:type="dxa" w:w="80"/>
              <w:right w:type="dxa" w:w="100"/>
            </w:tcMar>
          </w:tcPr>
          <w:p>
            <w:r>
              <w:rPr>
                <w:b w:val="false"/>
                <w:bCs w:val="false"/>
                <w:color w:val="000000"/>
                <w:sz w:val="20"/>
                <w:szCs w:val="20"/>
              </w:rPr>
              <w:t xml:space="preserve">이륜자동차(긴급자동차 제외)·자전거 등 차마 및 보행자는 고속도로등을 통행·횡단할 수 없음 — 보행자·자전거 이동권이 원천 배제되는 구간.</w:t>
            </w:r>
          </w:p>
        </w:tc>
      </w:tr>
    </w:tbl>
    <w:p>
      <w:pPr>
        <w:pStyle w:val="Heading2"/>
        <w:spacing w:after="120" w:before="280"/>
      </w:pPr>
      <w:r>
        <w:t xml:space="preserve">문제의식</w:t>
      </w:r>
    </w:p>
    <w:p>
      <w:pPr>
        <w:spacing w:after="140"/>
      </w:pPr>
      <w:r>
        <w:t xml:space="preserve">공모전이 지적하는 "보행과 자전거로 이동하기 어려운 환경", "자동차 중심에서 사람 중심 이동으로의 전환"과 가장 직접적으로 맞닿는 조문군입니다. 보행자 보호 의무(제27조)와 보행자전용도로·보행자우선도로 지정 근거(제28조·제28조의2)는 있지만, 실제 지정 여부는 지자체 재량과 예산에 좌우되어 지역별 편차가 큽니다. 제63조처럼 고속도로등에서 보행자·자전거가 아예 배제되는 구간은 우회 이동의 격차를 만드는 지점이기도 합니다.</w:t>
      </w:r>
    </w:p>
    <w:p>
      <w:pPr>
        <w:pStyle w:val="Heading2"/>
        <w:spacing w:after="120" w:before="280"/>
      </w:pPr>
      <w:r>
        <w:t xml:space="preserve">공모전 연계 아이디어</w:t>
      </w:r>
    </w:p>
    <w:p>
      <w:pPr>
        <w:pStyle w:val="ListParagraph"/>
        <w:numPr>
          <w:ilvl w:val="0"/>
          <w:numId w:val="1"/>
        </w:numPr>
        <w:spacing w:after="80"/>
      </w:pPr>
      <w:r>
        <w:t xml:space="preserve">유동인구(통신사 생활인구, 공공와이파이 접속 데이터), 보도 폭·사고이력·교통약자시설 밀집도를 결합해 "보행자우선도로 지정 우선순위 스코어"를 산출하는 모델 — 제28조의2의 재량적 지정 절차를 데이터 기반 의사결정으로 보완하는 정책 아이디어로 제안 가능.</w:t>
      </w:r>
    </w:p>
    <w:p>
      <w:pPr>
        <w:pStyle w:val="ListParagraph"/>
        <w:numPr>
          <w:ilvl w:val="0"/>
          <w:numId w:val="1"/>
        </w:numPr>
        <w:spacing w:after="80"/>
      </w:pPr>
      <w:r>
        <w:t xml:space="preserve">제7조 "혼잡 완화 조치"는 현장 경찰관의 재량 판단에 의존하는 조문입니다. 실시간 유동인구·차량속도 데이터를 학습시켜 혼잡을 사전에 예측하고, 신호주기 조정이나 임시 보행공간 개방 시점을 미리 제안하는 조기경보 모델을 설계해볼 수 있습니다.</w:t>
      </w:r>
    </w:p>
    <w:p>
      <w:pPr>
        <w:pStyle w:val="ListParagraph"/>
        <w:numPr>
          <w:ilvl w:val="0"/>
          <w:numId w:val="1"/>
        </w:numPr>
        <w:spacing w:after="80"/>
      </w:pPr>
      <w:r>
        <w:t xml:space="preserve">제63조로 보행자·자전거가 통행할 수 없는 고속도로등 구간 주변의 실제 우회 경로 거리·소요시간을 GIS로 계산해, "이동격차가 발생하는 단절 구간" 지도를 만드는 것도 공모전의 데이터 분석 취지에 부합하는 참신한 접근입니다.</w:t>
      </w:r>
    </w:p>
    <w:p>
      <w:r>
        <w:br w:type="page"/>
      </w:r>
    </w:p>
    <w:p>
      <w:pPr>
        <w:pStyle w:val="Heading1"/>
        <w:spacing w:after="160" w:before="360"/>
      </w:pPr>
      <w:r>
        <w:t xml:space="preserve">2. 교통약자 보호구역 (어린이·노인·장애인)</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제11조</w:t>
            </w:r>
          </w:p>
        </w:tc>
        <w:tc>
          <w:tcPr>
            <w:tcW w:type="dxa" w:w="2600"/>
            <w:tcMar>
              <w:top w:type="dxa" w:w="80"/>
              <w:left w:type="dxa" w:w="100"/>
              <w:bottom w:type="dxa" w:w="80"/>
              <w:right w:type="dxa" w:w="100"/>
            </w:tcMar>
          </w:tcPr>
          <w:p>
            <w:r>
              <w:rPr>
                <w:b w:val="false"/>
                <w:bCs w:val="false"/>
                <w:color w:val="000000"/>
                <w:sz w:val="20"/>
                <w:szCs w:val="20"/>
              </w:rPr>
              <w:t xml:space="preserve">어린이 등에 대한 보호</w:t>
            </w:r>
          </w:p>
        </w:tc>
        <w:tc>
          <w:tcPr>
            <w:tcW w:type="dxa" w:w="6300"/>
            <w:tcMar>
              <w:top w:type="dxa" w:w="80"/>
              <w:left w:type="dxa" w:w="100"/>
              <w:bottom w:type="dxa" w:w="80"/>
              <w:right w:type="dxa" w:w="100"/>
            </w:tcMar>
          </w:tcPr>
          <w:p>
            <w:r>
              <w:rPr>
                <w:b w:val="false"/>
                <w:bCs w:val="false"/>
                <w:color w:val="000000"/>
                <w:sz w:val="20"/>
                <w:szCs w:val="20"/>
              </w:rPr>
              <w:t xml:space="preserve">어린이·영유아·시각장애인·거동불편 노인 보호를 위한 보호자 의무 및 경찰관 현장조치 의무 규정. 어린이의 개인형 이동장치(PM) 운전 금지 포함.</w:t>
            </w:r>
          </w:p>
        </w:tc>
      </w:tr>
      <w:tr>
        <w:tc>
          <w:tcPr>
            <w:tcW w:type="dxa" w:w="1300"/>
            <w:tcMar>
              <w:top w:type="dxa" w:w="80"/>
              <w:left w:type="dxa" w:w="100"/>
              <w:bottom w:type="dxa" w:w="80"/>
              <w:right w:type="dxa" w:w="100"/>
            </w:tcMar>
          </w:tcPr>
          <w:p>
            <w:r>
              <w:rPr>
                <w:b w:val="false"/>
                <w:bCs w:val="false"/>
                <w:color w:val="000000"/>
                <w:sz w:val="20"/>
                <w:szCs w:val="20"/>
              </w:rPr>
              <w:t xml:space="preserve">제12조</w:t>
            </w:r>
          </w:p>
        </w:tc>
        <w:tc>
          <w:tcPr>
            <w:tcW w:type="dxa" w:w="2600"/>
            <w:tcMar>
              <w:top w:type="dxa" w:w="80"/>
              <w:left w:type="dxa" w:w="100"/>
              <w:bottom w:type="dxa" w:w="80"/>
              <w:right w:type="dxa" w:w="100"/>
            </w:tcMar>
          </w:tcPr>
          <w:p>
            <w:r>
              <w:rPr>
                <w:b w:val="false"/>
                <w:bCs w:val="false"/>
                <w:color w:val="000000"/>
                <w:sz w:val="20"/>
                <w:szCs w:val="20"/>
              </w:rPr>
              <w:t xml:space="preserve">어린이 보호구역의 지정ㆍ해제 및 관리</w:t>
            </w:r>
          </w:p>
        </w:tc>
        <w:tc>
          <w:tcPr>
            <w:tcW w:type="dxa" w:w="6300"/>
            <w:tcMar>
              <w:top w:type="dxa" w:w="80"/>
              <w:left w:type="dxa" w:w="100"/>
              <w:bottom w:type="dxa" w:w="80"/>
              <w:right w:type="dxa" w:w="100"/>
            </w:tcMar>
          </w:tcPr>
          <w:p>
            <w:r>
              <w:rPr>
                <w:b w:val="false"/>
                <w:bCs w:val="false"/>
                <w:color w:val="000000"/>
                <w:sz w:val="20"/>
                <w:szCs w:val="20"/>
              </w:rPr>
              <w:t xml:space="preserve">유치원·학교·학원 등 주변도로를 어린이 보호구역으로 지정(시속 30km 제한), 무인단속장비·신호기·과속방지시설 우선 설치 의무.</w:t>
            </w:r>
          </w:p>
        </w:tc>
      </w:tr>
      <w:tr>
        <w:tc>
          <w:tcPr>
            <w:tcW w:type="dxa" w:w="1300"/>
            <w:tcMar>
              <w:top w:type="dxa" w:w="80"/>
              <w:left w:type="dxa" w:w="100"/>
              <w:bottom w:type="dxa" w:w="80"/>
              <w:right w:type="dxa" w:w="100"/>
            </w:tcMar>
          </w:tcPr>
          <w:p>
            <w:r>
              <w:rPr>
                <w:b w:val="false"/>
                <w:bCs w:val="false"/>
                <w:color w:val="000000"/>
                <w:sz w:val="20"/>
                <w:szCs w:val="20"/>
              </w:rPr>
              <w:t xml:space="preserve">제12조의2</w:t>
            </w:r>
          </w:p>
        </w:tc>
        <w:tc>
          <w:tcPr>
            <w:tcW w:type="dxa" w:w="2600"/>
            <w:tcMar>
              <w:top w:type="dxa" w:w="80"/>
              <w:left w:type="dxa" w:w="100"/>
              <w:bottom w:type="dxa" w:w="80"/>
              <w:right w:type="dxa" w:w="100"/>
            </w:tcMar>
          </w:tcPr>
          <w:p>
            <w:r>
              <w:rPr>
                <w:b w:val="false"/>
                <w:bCs w:val="false"/>
                <w:color w:val="000000"/>
                <w:sz w:val="20"/>
                <w:szCs w:val="20"/>
              </w:rPr>
              <w:t xml:space="preserve">노인 및 장애인 보호구역의 지정ㆍ해제 및 관리</w:t>
            </w:r>
          </w:p>
        </w:tc>
        <w:tc>
          <w:tcPr>
            <w:tcW w:type="dxa" w:w="6300"/>
            <w:tcMar>
              <w:top w:type="dxa" w:w="80"/>
              <w:left w:type="dxa" w:w="100"/>
              <w:bottom w:type="dxa" w:w="80"/>
              <w:right w:type="dxa" w:w="100"/>
            </w:tcMar>
          </w:tcPr>
          <w:p>
            <w:r>
              <w:rPr>
                <w:b w:val="false"/>
                <w:bCs w:val="false"/>
                <w:color w:val="000000"/>
                <w:sz w:val="20"/>
                <w:szCs w:val="20"/>
              </w:rPr>
              <w:t xml:space="preserve">노인복지시설·장애인복지시설 등 주변도로를 노인 및 장애인 보호구역으로 지정·관리하는 근거 규정 (제12조 어린이보호구역 체계를 준용).</w:t>
            </w:r>
          </w:p>
        </w:tc>
      </w:tr>
      <w:tr>
        <w:tc>
          <w:tcPr>
            <w:tcW w:type="dxa" w:w="1300"/>
            <w:tcMar>
              <w:top w:type="dxa" w:w="80"/>
              <w:left w:type="dxa" w:w="100"/>
              <w:bottom w:type="dxa" w:w="80"/>
              <w:right w:type="dxa" w:w="100"/>
            </w:tcMar>
          </w:tcPr>
          <w:p>
            <w:r>
              <w:rPr>
                <w:b w:val="false"/>
                <w:bCs w:val="false"/>
                <w:color w:val="000000"/>
                <w:sz w:val="20"/>
                <w:szCs w:val="20"/>
              </w:rPr>
              <w:t xml:space="preserve">제12조의3</w:t>
            </w:r>
          </w:p>
        </w:tc>
        <w:tc>
          <w:tcPr>
            <w:tcW w:type="dxa" w:w="2600"/>
            <w:tcMar>
              <w:top w:type="dxa" w:w="80"/>
              <w:left w:type="dxa" w:w="100"/>
              <w:bottom w:type="dxa" w:w="80"/>
              <w:right w:type="dxa" w:w="100"/>
            </w:tcMar>
          </w:tcPr>
          <w:p>
            <w:r>
              <w:rPr>
                <w:b w:val="false"/>
                <w:bCs w:val="false"/>
                <w:color w:val="000000"/>
                <w:sz w:val="20"/>
                <w:szCs w:val="20"/>
              </w:rPr>
              <w:t xml:space="preserve">보호구역 통합관리시스템 구축ㆍ운영 등</w:t>
            </w:r>
          </w:p>
        </w:tc>
        <w:tc>
          <w:tcPr>
            <w:tcW w:type="dxa" w:w="6300"/>
            <w:tcMar>
              <w:top w:type="dxa" w:w="80"/>
              <w:left w:type="dxa" w:w="100"/>
              <w:bottom w:type="dxa" w:w="80"/>
              <w:right w:type="dxa" w:w="100"/>
            </w:tcMar>
          </w:tcPr>
          <w:p>
            <w:r>
              <w:rPr>
                <w:b w:val="false"/>
                <w:bCs w:val="false"/>
                <w:color w:val="000000"/>
                <w:sz w:val="20"/>
                <w:szCs w:val="20"/>
              </w:rPr>
              <w:t xml:space="preserve">보호구역의 각종 데이터(CCTV, 단속장비 등)를 통합 관리하는 시스템 구축·운영 근거 — 이미 법제화된 데이터 인프라.</w:t>
            </w:r>
          </w:p>
        </w:tc>
      </w:tr>
      <w:tr>
        <w:tc>
          <w:tcPr>
            <w:tcW w:type="dxa" w:w="1300"/>
            <w:tcMar>
              <w:top w:type="dxa" w:w="80"/>
              <w:left w:type="dxa" w:w="100"/>
              <w:bottom w:type="dxa" w:w="80"/>
              <w:right w:type="dxa" w:w="100"/>
            </w:tcMar>
          </w:tcPr>
          <w:p>
            <w:r>
              <w:rPr>
                <w:b w:val="false"/>
                <w:bCs w:val="false"/>
                <w:color w:val="000000"/>
                <w:sz w:val="20"/>
                <w:szCs w:val="20"/>
              </w:rPr>
              <w:t xml:space="preserve">제12조의4</w:t>
            </w:r>
          </w:p>
        </w:tc>
        <w:tc>
          <w:tcPr>
            <w:tcW w:type="dxa" w:w="2600"/>
            <w:tcMar>
              <w:top w:type="dxa" w:w="80"/>
              <w:left w:type="dxa" w:w="100"/>
              <w:bottom w:type="dxa" w:w="80"/>
              <w:right w:type="dxa" w:w="100"/>
            </w:tcMar>
          </w:tcPr>
          <w:p>
            <w:r>
              <w:rPr>
                <w:b w:val="false"/>
                <w:bCs w:val="false"/>
                <w:color w:val="000000"/>
                <w:sz w:val="20"/>
                <w:szCs w:val="20"/>
              </w:rPr>
              <w:t xml:space="preserve">보호구역에 대한 실태조사 등</w:t>
            </w:r>
          </w:p>
        </w:tc>
        <w:tc>
          <w:tcPr>
            <w:tcW w:type="dxa" w:w="6300"/>
            <w:tcMar>
              <w:top w:type="dxa" w:w="80"/>
              <w:left w:type="dxa" w:w="100"/>
              <w:bottom w:type="dxa" w:w="80"/>
              <w:right w:type="dxa" w:w="100"/>
            </w:tcMar>
          </w:tcPr>
          <w:p>
            <w:r>
              <w:rPr>
                <w:b w:val="false"/>
                <w:bCs w:val="false"/>
                <w:color w:val="000000"/>
                <w:sz w:val="20"/>
                <w:szCs w:val="20"/>
              </w:rPr>
              <w:t xml:space="preserve">보호구역 지정의 적정성을 점검하기 위한 실태조사 실시 근거 및 결과 활용 규정.</w:t>
            </w:r>
          </w:p>
        </w:tc>
      </w:tr>
    </w:tbl>
    <w:p>
      <w:pPr>
        <w:pStyle w:val="Heading2"/>
        <w:spacing w:after="120" w:before="280"/>
      </w:pPr>
      <w:r>
        <w:t xml:space="preserve">문제의식</w:t>
      </w:r>
    </w:p>
    <w:p>
      <w:pPr>
        <w:spacing w:after="140"/>
      </w:pPr>
      <w:r>
        <w:t xml:space="preserve">공모전이 명시한 "교통약자가 겪는 불편"을 정면으로 다루는 핵심 조문군입니다. 특히 제12조의3(보호구역 통합관리시스템)은 이미 데이터 인프라가 법제화되어 있다는 뜻이고, 제12조의4(실태조사)는 지정의 적정성을 주기적으로 점검하도록 하고 있어, 공모전에서 요구하는 "기존 정책에서 잘 드러나지 않았던 문제 발견"에 바로 활용할 수 있는 제도적 근거입니다.</w:t>
      </w:r>
    </w:p>
    <w:p>
      <w:pPr>
        <w:pStyle w:val="Heading2"/>
        <w:spacing w:after="120" w:before="280"/>
      </w:pPr>
      <w:r>
        <w:t xml:space="preserve">공모전 연계 아이디어</w:t>
      </w:r>
    </w:p>
    <w:p>
      <w:pPr>
        <w:pStyle w:val="ListParagraph"/>
        <w:numPr>
          <w:ilvl w:val="0"/>
          <w:numId w:val="1"/>
        </w:numPr>
        <w:spacing w:after="80"/>
      </w:pPr>
      <w:r>
        <w:t xml:space="preserve">제12조의3에 근거해 이미 수집되고 있을 보호구역 CCTV·무인단속 데이터를 가정하고, 이를 활용한 "보호구역 내 위험도 지수"를 설계 — 지수가 높은데 방호울타리·과속방지시설(제12조 제5항)이 미설치된 곳을 우선 개선 대상으로 제시하면 정책 실행력 있는 제안이 됩니다.</w:t>
      </w:r>
    </w:p>
    <w:p>
      <w:pPr>
        <w:pStyle w:val="ListParagraph"/>
        <w:numPr>
          <w:ilvl w:val="0"/>
          <w:numId w:val="1"/>
        </w:numPr>
        <w:spacing w:after="80"/>
      </w:pPr>
      <w:r>
        <w:t xml:space="preserve">제12조의2 노인·장애인 보호구역의 법정 지정 요건(노인·장애인 복지시설 등 주변)과 실제 고령인구·장애인 등록 인구 통계를 공간적으로 매핑해, 요건은 충족하지만 아직 지정되지 않은 "제도 사각지대"를 발굴 — 제12조의4 실태조사와 결합하면 근거가 더 탄탄해집니다.</w:t>
      </w:r>
    </w:p>
    <w:p>
      <w:pPr>
        <w:pStyle w:val="ListParagraph"/>
        <w:numPr>
          <w:ilvl w:val="0"/>
          <w:numId w:val="1"/>
        </w:numPr>
        <w:spacing w:after="80"/>
      </w:pPr>
      <w:r>
        <w:t xml:space="preserve">제11조제6항이 열거한 현장조치 대상(놀이 중 어린이, 보호자 없는 영유아, 백지팡이 없는 시각장애인, 보행에 어려움을 겪는 노인)을 지자체 민원·112 신고 데이터와 연결해 취약 지점 히트맵을 만들면, 법 조문의 "보호 대상"을 실제 공간 데이터로 구체화하는 설득력 있는 스토리가 됩니다.</w:t>
      </w:r>
    </w:p>
    <w:p>
      <w:r>
        <w:br w:type="page"/>
      </w:r>
    </w:p>
    <w:p>
      <w:pPr>
        <w:pStyle w:val="Heading1"/>
        <w:spacing w:after="160" w:before="360"/>
      </w:pPr>
      <w:r>
        <w:t xml:space="preserve">3. 어린이통학버스 안전관리</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제51조</w:t>
            </w:r>
          </w:p>
        </w:tc>
        <w:tc>
          <w:tcPr>
            <w:tcW w:type="dxa" w:w="2600"/>
            <w:tcMar>
              <w:top w:type="dxa" w:w="80"/>
              <w:left w:type="dxa" w:w="100"/>
              <w:bottom w:type="dxa" w:w="80"/>
              <w:right w:type="dxa" w:w="100"/>
            </w:tcMar>
          </w:tcPr>
          <w:p>
            <w:r>
              <w:rPr>
                <w:b w:val="false"/>
                <w:bCs w:val="false"/>
                <w:color w:val="000000"/>
                <w:sz w:val="20"/>
                <w:szCs w:val="20"/>
              </w:rPr>
              <w:t xml:space="preserve">어린이통학버스의 특별보호</w:t>
            </w:r>
          </w:p>
        </w:tc>
        <w:tc>
          <w:tcPr>
            <w:tcW w:type="dxa" w:w="6300"/>
            <w:tcMar>
              <w:top w:type="dxa" w:w="80"/>
              <w:left w:type="dxa" w:w="100"/>
              <w:bottom w:type="dxa" w:w="80"/>
              <w:right w:type="dxa" w:w="100"/>
            </w:tcMar>
          </w:tcPr>
          <w:p>
            <w:r>
              <w:rPr>
                <w:b w:val="false"/>
                <w:bCs w:val="false"/>
                <w:color w:val="000000"/>
                <w:sz w:val="20"/>
                <w:szCs w:val="20"/>
              </w:rPr>
              <w:t xml:space="preserve">어린이통학버스 정차 시 주변 차량의 일시정지·서행 의무, 앞지르기 금지 규정.</w:t>
            </w:r>
          </w:p>
        </w:tc>
      </w:tr>
      <w:tr>
        <w:tc>
          <w:tcPr>
            <w:tcW w:type="dxa" w:w="1300"/>
            <w:tcMar>
              <w:top w:type="dxa" w:w="80"/>
              <w:left w:type="dxa" w:w="100"/>
              <w:bottom w:type="dxa" w:w="80"/>
              <w:right w:type="dxa" w:w="100"/>
            </w:tcMar>
          </w:tcPr>
          <w:p>
            <w:r>
              <w:rPr>
                <w:b w:val="false"/>
                <w:bCs w:val="false"/>
                <w:color w:val="000000"/>
                <w:sz w:val="20"/>
                <w:szCs w:val="20"/>
              </w:rPr>
              <w:t xml:space="preserve">제52조</w:t>
            </w:r>
          </w:p>
        </w:tc>
        <w:tc>
          <w:tcPr>
            <w:tcW w:type="dxa" w:w="2600"/>
            <w:tcMar>
              <w:top w:type="dxa" w:w="80"/>
              <w:left w:type="dxa" w:w="100"/>
              <w:bottom w:type="dxa" w:w="80"/>
              <w:right w:type="dxa" w:w="100"/>
            </w:tcMar>
          </w:tcPr>
          <w:p>
            <w:r>
              <w:rPr>
                <w:b w:val="false"/>
                <w:bCs w:val="false"/>
                <w:color w:val="000000"/>
                <w:sz w:val="20"/>
                <w:szCs w:val="20"/>
              </w:rPr>
              <w:t xml:space="preserve">어린이통학버스의 신고 등</w:t>
            </w:r>
          </w:p>
        </w:tc>
        <w:tc>
          <w:tcPr>
            <w:tcW w:type="dxa" w:w="6300"/>
            <w:tcMar>
              <w:top w:type="dxa" w:w="80"/>
              <w:left w:type="dxa" w:w="100"/>
              <w:bottom w:type="dxa" w:w="80"/>
              <w:right w:type="dxa" w:w="100"/>
            </w:tcMar>
          </w:tcPr>
          <w:p>
            <w:r>
              <w:rPr>
                <w:b w:val="false"/>
                <w:bCs w:val="false"/>
                <w:color w:val="000000"/>
                <w:sz w:val="20"/>
                <w:szCs w:val="20"/>
              </w:rPr>
              <w:t xml:space="preserve">어린이통학버스 신고·신고증명서 비치·차량 요건, 유사도색 금지 규정.</w:t>
            </w:r>
          </w:p>
        </w:tc>
      </w:tr>
      <w:tr>
        <w:tc>
          <w:tcPr>
            <w:tcW w:type="dxa" w:w="1300"/>
            <w:tcMar>
              <w:top w:type="dxa" w:w="80"/>
              <w:left w:type="dxa" w:w="100"/>
              <w:bottom w:type="dxa" w:w="80"/>
              <w:right w:type="dxa" w:w="100"/>
            </w:tcMar>
          </w:tcPr>
          <w:p>
            <w:r>
              <w:rPr>
                <w:b w:val="false"/>
                <w:bCs w:val="false"/>
                <w:color w:val="000000"/>
                <w:sz w:val="20"/>
                <w:szCs w:val="20"/>
              </w:rPr>
              <w:t xml:space="preserve">제53조</w:t>
            </w:r>
          </w:p>
        </w:tc>
        <w:tc>
          <w:tcPr>
            <w:tcW w:type="dxa" w:w="2600"/>
            <w:tcMar>
              <w:top w:type="dxa" w:w="80"/>
              <w:left w:type="dxa" w:w="100"/>
              <w:bottom w:type="dxa" w:w="80"/>
              <w:right w:type="dxa" w:w="100"/>
            </w:tcMar>
          </w:tcPr>
          <w:p>
            <w:r>
              <w:rPr>
                <w:b w:val="false"/>
                <w:bCs w:val="false"/>
                <w:color w:val="000000"/>
                <w:sz w:val="20"/>
                <w:szCs w:val="20"/>
              </w:rPr>
              <w:t xml:space="preserve">어린이통학버스 운전자 및 운영자 등의 의무</w:t>
            </w:r>
          </w:p>
        </w:tc>
        <w:tc>
          <w:tcPr>
            <w:tcW w:type="dxa" w:w="6300"/>
            <w:tcMar>
              <w:top w:type="dxa" w:w="80"/>
              <w:left w:type="dxa" w:w="100"/>
              <w:bottom w:type="dxa" w:w="80"/>
              <w:right w:type="dxa" w:w="100"/>
            </w:tcMar>
          </w:tcPr>
          <w:p>
            <w:r>
              <w:rPr>
                <w:b w:val="false"/>
                <w:bCs w:val="false"/>
                <w:color w:val="000000"/>
                <w:sz w:val="20"/>
                <w:szCs w:val="20"/>
              </w:rPr>
              <w:t xml:space="preserve">통학버스 운전자·운영자의 안전띠 착용, 보호자 동승, 하차확인장치 작동, 안전운행기록 작성·제출 의무.</w:t>
            </w:r>
          </w:p>
        </w:tc>
      </w:tr>
      <w:tr>
        <w:tc>
          <w:tcPr>
            <w:tcW w:type="dxa" w:w="1300"/>
            <w:tcMar>
              <w:top w:type="dxa" w:w="80"/>
              <w:left w:type="dxa" w:w="100"/>
              <w:bottom w:type="dxa" w:w="80"/>
              <w:right w:type="dxa" w:w="100"/>
            </w:tcMar>
          </w:tcPr>
          <w:p>
            <w:r>
              <w:rPr>
                <w:b w:val="false"/>
                <w:bCs w:val="false"/>
                <w:color w:val="000000"/>
                <w:sz w:val="20"/>
                <w:szCs w:val="20"/>
              </w:rPr>
              <w:t xml:space="preserve">제53조의3</w:t>
            </w:r>
          </w:p>
        </w:tc>
        <w:tc>
          <w:tcPr>
            <w:tcW w:type="dxa" w:w="2600"/>
            <w:tcMar>
              <w:top w:type="dxa" w:w="80"/>
              <w:left w:type="dxa" w:w="100"/>
              <w:bottom w:type="dxa" w:w="80"/>
              <w:right w:type="dxa" w:w="100"/>
            </w:tcMar>
          </w:tcPr>
          <w:p>
            <w:r>
              <w:rPr>
                <w:b w:val="false"/>
                <w:bCs w:val="false"/>
                <w:color w:val="000000"/>
                <w:sz w:val="20"/>
                <w:szCs w:val="20"/>
              </w:rPr>
              <w:t xml:space="preserve">어린이통학버스 운영자 등에 대한 안전교육</w:t>
            </w:r>
          </w:p>
        </w:tc>
        <w:tc>
          <w:tcPr>
            <w:tcW w:type="dxa" w:w="6300"/>
            <w:tcMar>
              <w:top w:type="dxa" w:w="80"/>
              <w:left w:type="dxa" w:w="100"/>
              <w:bottom w:type="dxa" w:w="80"/>
              <w:right w:type="dxa" w:w="100"/>
            </w:tcMar>
          </w:tcPr>
          <w:p>
            <w:r>
              <w:rPr>
                <w:b w:val="false"/>
                <w:bCs w:val="false"/>
                <w:color w:val="000000"/>
                <w:sz w:val="20"/>
                <w:szCs w:val="20"/>
              </w:rPr>
              <w:t xml:space="preserve">어린이통학버스 운영자 등에 대한 정기적 안전교육 의무 규정.</w:t>
            </w:r>
          </w:p>
        </w:tc>
      </w:tr>
      <w:tr>
        <w:tc>
          <w:tcPr>
            <w:tcW w:type="dxa" w:w="1300"/>
            <w:tcMar>
              <w:top w:type="dxa" w:w="80"/>
              <w:left w:type="dxa" w:w="100"/>
              <w:bottom w:type="dxa" w:w="80"/>
              <w:right w:type="dxa" w:w="100"/>
            </w:tcMar>
          </w:tcPr>
          <w:p>
            <w:r>
              <w:rPr>
                <w:b w:val="false"/>
                <w:bCs w:val="false"/>
                <w:color w:val="000000"/>
                <w:sz w:val="20"/>
                <w:szCs w:val="20"/>
              </w:rPr>
              <w:t xml:space="preserve">제53조의4</w:t>
            </w:r>
          </w:p>
        </w:tc>
        <w:tc>
          <w:tcPr>
            <w:tcW w:type="dxa" w:w="2600"/>
            <w:tcMar>
              <w:top w:type="dxa" w:w="80"/>
              <w:left w:type="dxa" w:w="100"/>
              <w:bottom w:type="dxa" w:w="80"/>
              <w:right w:type="dxa" w:w="100"/>
            </w:tcMar>
          </w:tcPr>
          <w:p>
            <w:r>
              <w:rPr>
                <w:b w:val="false"/>
                <w:bCs w:val="false"/>
                <w:color w:val="000000"/>
                <w:sz w:val="20"/>
                <w:szCs w:val="20"/>
              </w:rPr>
              <w:t xml:space="preserve">어린이통학버스의 위반 정보 등 제공</w:t>
            </w:r>
          </w:p>
        </w:tc>
        <w:tc>
          <w:tcPr>
            <w:tcW w:type="dxa" w:w="6300"/>
            <w:tcMar>
              <w:top w:type="dxa" w:w="80"/>
              <w:left w:type="dxa" w:w="100"/>
              <w:bottom w:type="dxa" w:w="80"/>
              <w:right w:type="dxa" w:w="100"/>
            </w:tcMar>
          </w:tcPr>
          <w:p>
            <w:r>
              <w:rPr>
                <w:b w:val="false"/>
                <w:bCs w:val="false"/>
                <w:color w:val="000000"/>
                <w:sz w:val="20"/>
                <w:szCs w:val="20"/>
              </w:rPr>
              <w:t xml:space="preserve">어린이통학버스의 법규 위반 정보 등을 관계기관·보호자 등에게 제공하는 근거 규정 — 위반 이력 데이터가 존재함을 시사.</w:t>
            </w:r>
          </w:p>
        </w:tc>
      </w:tr>
      <w:tr>
        <w:tc>
          <w:tcPr>
            <w:tcW w:type="dxa" w:w="1300"/>
            <w:tcMar>
              <w:top w:type="dxa" w:w="80"/>
              <w:left w:type="dxa" w:w="100"/>
              <w:bottom w:type="dxa" w:w="80"/>
              <w:right w:type="dxa" w:w="100"/>
            </w:tcMar>
          </w:tcPr>
          <w:p>
            <w:r>
              <w:rPr>
                <w:b w:val="false"/>
                <w:bCs w:val="false"/>
                <w:color w:val="000000"/>
                <w:sz w:val="20"/>
                <w:szCs w:val="20"/>
              </w:rPr>
              <w:t xml:space="preserve">제53조의5</w:t>
            </w:r>
          </w:p>
        </w:tc>
        <w:tc>
          <w:tcPr>
            <w:tcW w:type="dxa" w:w="2600"/>
            <w:tcMar>
              <w:top w:type="dxa" w:w="80"/>
              <w:left w:type="dxa" w:w="100"/>
              <w:bottom w:type="dxa" w:w="80"/>
              <w:right w:type="dxa" w:w="100"/>
            </w:tcMar>
          </w:tcPr>
          <w:p>
            <w:r>
              <w:rPr>
                <w:b w:val="false"/>
                <w:bCs w:val="false"/>
                <w:color w:val="000000"/>
                <w:sz w:val="20"/>
                <w:szCs w:val="20"/>
              </w:rPr>
              <w:t xml:space="preserve">보호자가 동승하지 아니한 어린이통학버스 운전자의 의무</w:t>
            </w:r>
          </w:p>
        </w:tc>
        <w:tc>
          <w:tcPr>
            <w:tcW w:type="dxa" w:w="6300"/>
            <w:tcMar>
              <w:top w:type="dxa" w:w="80"/>
              <w:left w:type="dxa" w:w="100"/>
              <w:bottom w:type="dxa" w:w="80"/>
              <w:right w:type="dxa" w:w="100"/>
            </w:tcMar>
          </w:tcPr>
          <w:p>
            <w:r>
              <w:rPr>
                <w:b w:val="false"/>
                <w:bCs w:val="false"/>
                <w:color w:val="000000"/>
                <w:sz w:val="20"/>
                <w:szCs w:val="20"/>
              </w:rPr>
              <w:t xml:space="preserve">보호자가 동승하지 않는 통학버스 운전자가 직접 승하차 안전을 확인해야 하는 의무 규정.</w:t>
            </w:r>
          </w:p>
        </w:tc>
      </w:tr>
    </w:tbl>
    <w:p>
      <w:pPr>
        <w:pStyle w:val="Heading2"/>
        <w:spacing w:after="120" w:before="280"/>
      </w:pPr>
      <w:r>
        <w:t xml:space="preserve">문제의식</w:t>
      </w:r>
    </w:p>
    <w:p>
      <w:pPr>
        <w:spacing w:after="140"/>
      </w:pPr>
      <w:r>
        <w:t xml:space="preserve">통학버스는 어린이 이동권의 핵심 수단이면서 동시에 사고 위험이 집중되는 지점입니다. 제53조의4가 "위반 정보 등 제공" 제도를 이미 규정하고 있다는 점은, 이 데이터를 가정한 분석이 실제 제도와 맞닿아 있다는 근거가 됩니다.</w:t>
      </w:r>
    </w:p>
    <w:p>
      <w:pPr>
        <w:pStyle w:val="Heading2"/>
        <w:spacing w:after="120" w:before="280"/>
      </w:pPr>
      <w:r>
        <w:t xml:space="preserve">공모전 연계 아이디어</w:t>
      </w:r>
    </w:p>
    <w:p>
      <w:pPr>
        <w:pStyle w:val="ListParagraph"/>
        <w:numPr>
          <w:ilvl w:val="0"/>
          <w:numId w:val="1"/>
        </w:numPr>
        <w:spacing w:after="80"/>
      </w:pPr>
      <w:r>
        <w:t xml:space="preserve">제53조의4의 위반정보(일시정지 위반, 하차확인장치 미작동 등)를 시간대·노선별로 분석해 사고 위험이 높은 통학로·시간대를 도출하고, 제12조 어린이보호구역 지정 현황과 교차 분석하면 두 제도를 연결하는 통합적 제안이 됩니다.</w:t>
      </w:r>
    </w:p>
    <w:p>
      <w:pPr>
        <w:pStyle w:val="ListParagraph"/>
        <w:numPr>
          <w:ilvl w:val="0"/>
          <w:numId w:val="1"/>
        </w:numPr>
        <w:spacing w:after="80"/>
      </w:pPr>
      <w:r>
        <w:t xml:space="preserve">제53조의5(보호자 미동승 통학버스)의 비율이 높은 지역을 재정·인력 지원이 필요한 취약 지역으로 분류하고, 사고 데이터와의 상관관계를 분석해 지원 우선순위를 제안할 수 있습니다.</w:t>
      </w:r>
    </w:p>
    <w:p>
      <w:r>
        <w:br w:type="page"/>
      </w:r>
    </w:p>
    <w:p>
      <w:pPr>
        <w:pStyle w:val="Heading1"/>
        <w:spacing w:after="160" w:before="360"/>
      </w:pPr>
      <w:r>
        <w:t xml:space="preserve">4. 자전거·개인형 이동장치(PM)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제13조의2</w:t>
            </w:r>
          </w:p>
        </w:tc>
        <w:tc>
          <w:tcPr>
            <w:tcW w:type="dxa" w:w="2600"/>
            <w:tcMar>
              <w:top w:type="dxa" w:w="80"/>
              <w:left w:type="dxa" w:w="100"/>
              <w:bottom w:type="dxa" w:w="80"/>
              <w:right w:type="dxa" w:w="100"/>
            </w:tcMar>
          </w:tcPr>
          <w:p>
            <w:r>
              <w:rPr>
                <w:b w:val="false"/>
                <w:bCs w:val="false"/>
                <w:color w:val="000000"/>
                <w:sz w:val="20"/>
                <w:szCs w:val="20"/>
              </w:rPr>
              <w:t xml:space="preserve">자전거등의 통행방법의 특례</w:t>
            </w:r>
          </w:p>
        </w:tc>
        <w:tc>
          <w:tcPr>
            <w:tcW w:type="dxa" w:w="6300"/>
            <w:tcMar>
              <w:top w:type="dxa" w:w="80"/>
              <w:left w:type="dxa" w:w="100"/>
              <w:bottom w:type="dxa" w:w="80"/>
              <w:right w:type="dxa" w:w="100"/>
            </w:tcMar>
          </w:tcPr>
          <w:p>
            <w:r>
              <w:rPr>
                <w:b w:val="false"/>
                <w:bCs w:val="false"/>
                <w:color w:val="000000"/>
                <w:sz w:val="20"/>
                <w:szCs w:val="20"/>
              </w:rPr>
              <w:t xml:space="preserve">자전거도로 우선 통행 원칙, 자전거도로 미설치 구간에서의 통행방법, 어린이·노인·장애인의 보도 통행 허용 등 예외 규정.</w:t>
            </w:r>
          </w:p>
        </w:tc>
      </w:tr>
      <w:tr>
        <w:tc>
          <w:tcPr>
            <w:tcW w:type="dxa" w:w="1300"/>
            <w:tcMar>
              <w:top w:type="dxa" w:w="80"/>
              <w:left w:type="dxa" w:w="100"/>
              <w:bottom w:type="dxa" w:w="80"/>
              <w:right w:type="dxa" w:w="100"/>
            </w:tcMar>
          </w:tcPr>
          <w:p>
            <w:r>
              <w:rPr>
                <w:b w:val="false"/>
                <w:bCs w:val="false"/>
                <w:color w:val="000000"/>
                <w:sz w:val="20"/>
                <w:szCs w:val="20"/>
              </w:rPr>
              <w:t xml:space="preserve">제15조의2</w:t>
            </w:r>
          </w:p>
        </w:tc>
        <w:tc>
          <w:tcPr>
            <w:tcW w:type="dxa" w:w="2600"/>
            <w:tcMar>
              <w:top w:type="dxa" w:w="80"/>
              <w:left w:type="dxa" w:w="100"/>
              <w:bottom w:type="dxa" w:w="80"/>
              <w:right w:type="dxa" w:w="100"/>
            </w:tcMar>
          </w:tcPr>
          <w:p>
            <w:r>
              <w:rPr>
                <w:b w:val="false"/>
                <w:bCs w:val="false"/>
                <w:color w:val="000000"/>
                <w:sz w:val="20"/>
                <w:szCs w:val="20"/>
              </w:rPr>
              <w:t xml:space="preserve">자전거횡단도의 설치 등</w:t>
            </w:r>
          </w:p>
        </w:tc>
        <w:tc>
          <w:tcPr>
            <w:tcW w:type="dxa" w:w="6300"/>
            <w:tcMar>
              <w:top w:type="dxa" w:w="80"/>
              <w:left w:type="dxa" w:w="100"/>
              <w:bottom w:type="dxa" w:w="80"/>
              <w:right w:type="dxa" w:w="100"/>
            </w:tcMar>
          </w:tcPr>
          <w:p>
            <w:r>
              <w:rPr>
                <w:b w:val="false"/>
                <w:bCs w:val="false"/>
                <w:color w:val="000000"/>
                <w:sz w:val="20"/>
                <w:szCs w:val="20"/>
              </w:rPr>
              <w:t xml:space="preserve">자전거가 도로를 안전하게 횡단할 수 있도록 자전거횡단도를 설치·관리하는 근거 규정.</w:t>
            </w:r>
          </w:p>
        </w:tc>
      </w:tr>
      <w:tr>
        <w:tc>
          <w:tcPr>
            <w:tcW w:type="dxa" w:w="1300"/>
            <w:tcMar>
              <w:top w:type="dxa" w:w="80"/>
              <w:left w:type="dxa" w:w="100"/>
              <w:bottom w:type="dxa" w:w="80"/>
              <w:right w:type="dxa" w:w="100"/>
            </w:tcMar>
          </w:tcPr>
          <w:p>
            <w:r>
              <w:rPr>
                <w:b w:val="false"/>
                <w:bCs w:val="false"/>
                <w:color w:val="000000"/>
                <w:sz w:val="20"/>
                <w:szCs w:val="20"/>
              </w:rPr>
              <w:t xml:space="preserve">제46조의3</w:t>
            </w:r>
          </w:p>
        </w:tc>
        <w:tc>
          <w:tcPr>
            <w:tcW w:type="dxa" w:w="2600"/>
            <w:tcMar>
              <w:top w:type="dxa" w:w="80"/>
              <w:left w:type="dxa" w:w="100"/>
              <w:bottom w:type="dxa" w:w="80"/>
              <w:right w:type="dxa" w:w="100"/>
            </w:tcMar>
          </w:tcPr>
          <w:p>
            <w:r>
              <w:rPr>
                <w:b w:val="false"/>
                <w:bCs w:val="false"/>
                <w:color w:val="000000"/>
                <w:sz w:val="20"/>
                <w:szCs w:val="20"/>
              </w:rPr>
              <w:t xml:space="preserve">난폭운전 금지</w:t>
            </w:r>
          </w:p>
        </w:tc>
        <w:tc>
          <w:tcPr>
            <w:tcW w:type="dxa" w:w="6300"/>
            <w:tcMar>
              <w:top w:type="dxa" w:w="80"/>
              <w:left w:type="dxa" w:w="100"/>
              <w:bottom w:type="dxa" w:w="80"/>
              <w:right w:type="dxa" w:w="100"/>
            </w:tcMar>
          </w:tcPr>
          <w:p>
            <w:r>
              <w:rPr>
                <w:b w:val="false"/>
                <w:bCs w:val="false"/>
                <w:color w:val="000000"/>
                <w:sz w:val="20"/>
                <w:szCs w:val="20"/>
              </w:rPr>
              <w:t xml:space="preserve">자동차등(개인형 이동장치 제외) 운전자의 난폭운전 행위 유형 및 금지 규정.</w:t>
            </w:r>
          </w:p>
        </w:tc>
      </w:tr>
    </w:tbl>
    <w:p>
      <w:pPr>
        <w:pStyle w:val="Heading2"/>
        <w:spacing w:after="120" w:before="280"/>
      </w:pPr>
      <w:r>
        <w:t xml:space="preserve">문제의식</w:t>
      </w:r>
    </w:p>
    <w:p>
      <w:pPr>
        <w:spacing w:after="140"/>
      </w:pPr>
      <w:r>
        <w:t xml:space="preserve">"보행과 자전거로 이동하기 어려운 환경"이라는 공모전의 문제의식과 직결됩니다. 특히 제13조의2제4항은 어린이·노인·장애인에게 보도 통행을 예외적으로 허용하는데, 이 예외가 실제로 안전하게 작동하는 보도 환경에서 이루어지는지는 검증되지 않은 영역입니다.</w:t>
      </w:r>
    </w:p>
    <w:p>
      <w:pPr>
        <w:pStyle w:val="Heading2"/>
        <w:spacing w:after="120" w:before="280"/>
      </w:pPr>
      <w:r>
        <w:t xml:space="preserve">공모전 연계 아이디어</w:t>
      </w:r>
    </w:p>
    <w:p>
      <w:pPr>
        <w:pStyle w:val="ListParagraph"/>
        <w:numPr>
          <w:ilvl w:val="0"/>
          <w:numId w:val="1"/>
        </w:numPr>
        <w:spacing w:after="80"/>
      </w:pPr>
      <w:r>
        <w:t xml:space="preserve">공공데이터포털의 자전거도로 설치 현황과 자전거 교통사고 데이터, 대중교통 정류장 위치를 결합해 "라스트마일 자전거 네트워크 공백 지도"를 제작 — 자전거도로가 끊기는 구간과 사고 다발 구간의 일치 여부를 분석.</w:t>
      </w:r>
    </w:p>
    <w:p>
      <w:pPr>
        <w:pStyle w:val="ListParagraph"/>
        <w:numPr>
          <w:ilvl w:val="0"/>
          <w:numId w:val="1"/>
        </w:numPr>
        <w:spacing w:after="80"/>
      </w:pPr>
      <w:r>
        <w:t xml:space="preserve">제13조의2제4항의 예외(어린이·노인·장애인 보도 통행 허용)가 적용되는 지역의 실제 보도 폭·보행자 밀도 데이터를 결합해, 이 예외조항이 오히려 보행자와의 충돌 위험을 높이는 구간을 찾아내는 것도 "기존 정책에서 드러나지 않은 문제"의 좋은 사례가 됩니다.</w:t>
      </w:r>
    </w:p>
    <w:p>
      <w:pPr>
        <w:pStyle w:val="ListParagraph"/>
        <w:numPr>
          <w:ilvl w:val="0"/>
          <w:numId w:val="1"/>
        </w:numPr>
        <w:spacing w:after="80"/>
      </w:pPr>
      <w:r>
        <w:t xml:space="preserve">제15조의2 자전거횡단도 설치 지점과 미설치 교차로의 사고 데이터를 비교해 우선 설치 후보지를 순위화합니다.</w:t>
      </w:r>
    </w:p>
    <w:p>
      <w:r>
        <w:br w:type="page"/>
      </w:r>
    </w:p>
    <w:p>
      <w:pPr>
        <w:pStyle w:val="Heading1"/>
        <w:spacing w:after="160" w:before="360"/>
      </w:pPr>
      <w:r>
        <w:t xml:space="preserve">5. 자율주행자동차</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제56조의2</w:t>
            </w:r>
          </w:p>
        </w:tc>
        <w:tc>
          <w:tcPr>
            <w:tcW w:type="dxa" w:w="2600"/>
            <w:tcMar>
              <w:top w:type="dxa" w:w="80"/>
              <w:left w:type="dxa" w:w="100"/>
              <w:bottom w:type="dxa" w:w="80"/>
              <w:right w:type="dxa" w:w="100"/>
            </w:tcMar>
          </w:tcPr>
          <w:p>
            <w:r>
              <w:rPr>
                <w:b w:val="false"/>
                <w:bCs w:val="false"/>
                <w:color w:val="000000"/>
                <w:sz w:val="20"/>
                <w:szCs w:val="20"/>
              </w:rPr>
              <w:t xml:space="preserve">자율주행자동차 운전자의 준수사항 등</w:t>
            </w:r>
          </w:p>
        </w:tc>
        <w:tc>
          <w:tcPr>
            <w:tcW w:type="dxa" w:w="6300"/>
            <w:tcMar>
              <w:top w:type="dxa" w:w="80"/>
              <w:left w:type="dxa" w:w="100"/>
              <w:bottom w:type="dxa" w:w="80"/>
              <w:right w:type="dxa" w:w="100"/>
            </w:tcMar>
          </w:tcPr>
          <w:p>
            <w:r>
              <w:rPr>
                <w:b w:val="false"/>
                <w:bCs w:val="false"/>
                <w:color w:val="000000"/>
                <w:sz w:val="20"/>
                <w:szCs w:val="20"/>
              </w:rPr>
              <w:t xml:space="preserve">자율주행시스템 사용 중에도 시스템의 직접운전 요구에 지체 없이 대응해야 하는 운전자 의무, 일부 안전규정 적용 예외.</w:t>
            </w:r>
          </w:p>
        </w:tc>
      </w:tr>
      <w:tr>
        <w:tc>
          <w:tcPr>
            <w:tcW w:type="dxa" w:w="1300"/>
            <w:tcMar>
              <w:top w:type="dxa" w:w="80"/>
              <w:left w:type="dxa" w:w="100"/>
              <w:bottom w:type="dxa" w:w="80"/>
              <w:right w:type="dxa" w:w="100"/>
            </w:tcMar>
          </w:tcPr>
          <w:p>
            <w:r>
              <w:rPr>
                <w:b w:val="false"/>
                <w:bCs w:val="false"/>
                <w:color w:val="000000"/>
                <w:sz w:val="20"/>
                <w:szCs w:val="20"/>
              </w:rPr>
              <w:t xml:space="preserve">제56조의3</w:t>
            </w:r>
          </w:p>
        </w:tc>
        <w:tc>
          <w:tcPr>
            <w:tcW w:type="dxa" w:w="2600"/>
            <w:tcMar>
              <w:top w:type="dxa" w:w="80"/>
              <w:left w:type="dxa" w:w="100"/>
              <w:bottom w:type="dxa" w:w="80"/>
              <w:right w:type="dxa" w:w="100"/>
            </w:tcMar>
          </w:tcPr>
          <w:p>
            <w:r>
              <w:rPr>
                <w:b w:val="false"/>
                <w:bCs w:val="false"/>
                <w:color w:val="000000"/>
                <w:sz w:val="20"/>
                <w:szCs w:val="20"/>
              </w:rPr>
              <w:t xml:space="preserve">자율주행자동차 시험운전자의 준수사항 등</w:t>
            </w:r>
          </w:p>
        </w:tc>
        <w:tc>
          <w:tcPr>
            <w:tcW w:type="dxa" w:w="6300"/>
            <w:tcMar>
              <w:top w:type="dxa" w:w="80"/>
              <w:left w:type="dxa" w:w="100"/>
              <w:bottom w:type="dxa" w:w="80"/>
              <w:right w:type="dxa" w:w="100"/>
            </w:tcMar>
          </w:tcPr>
          <w:p>
            <w:r>
              <w:rPr>
                <w:b w:val="false"/>
                <w:bCs w:val="false"/>
                <w:color w:val="000000"/>
                <w:sz w:val="20"/>
                <w:szCs w:val="20"/>
              </w:rPr>
              <w:t xml:space="preserve">자율주행자동차 시험운전자가 준수해야 할 사항을 규정.</w:t>
            </w:r>
          </w:p>
        </w:tc>
      </w:tr>
    </w:tbl>
    <w:p>
      <w:pPr>
        <w:pStyle w:val="Heading2"/>
        <w:spacing w:after="120" w:before="280"/>
      </w:pPr>
      <w:r>
        <w:t xml:space="preserve">문제의식</w:t>
      </w:r>
    </w:p>
    <w:p>
      <w:pPr>
        <w:spacing w:after="140"/>
      </w:pPr>
      <w:r>
        <w:t xml:space="preserve">공모전이 강조하는 "AI와 다양한 데이터를 활용한 정책 아이디어"라는 방향성과 맞닿아 있으며, 대중교통이 부족한 지역의 이동 격차를 해소할 미래형 수단으로 연결할 수 있습니다.</w:t>
      </w:r>
    </w:p>
    <w:p>
      <w:pPr>
        <w:pStyle w:val="Heading2"/>
        <w:spacing w:after="120" w:before="280"/>
      </w:pPr>
      <w:r>
        <w:t xml:space="preserve">공모전 연계 아이디어</w:t>
      </w:r>
    </w:p>
    <w:p>
      <w:pPr>
        <w:pStyle w:val="ListParagraph"/>
        <w:numPr>
          <w:ilvl w:val="0"/>
          <w:numId w:val="1"/>
        </w:numPr>
        <w:spacing w:after="80"/>
      </w:pPr>
      <w:r>
        <w:t xml:space="preserve">제56조의2가 규정하는 운전자 개입 의무 범위 내에서, 자율주행 셔틀을 대중교통 소외지역(예: 심야·저빈도 노선)에 투입하는 시나리오를 도로 인프라·인구밀도 데이터로 시뮬레이션해보는 정책 제안.</w:t>
      </w:r>
    </w:p>
    <w:p>
      <w:pPr>
        <w:pStyle w:val="ListParagraph"/>
        <w:numPr>
          <w:ilvl w:val="0"/>
          <w:numId w:val="1"/>
        </w:numPr>
        <w:spacing w:after="80"/>
      </w:pPr>
      <w:r>
        <w:t xml:space="preserve">시험운전 관련 공개 데이터(있는 경우)와 도로 폭·신호체계 데이터를 결합해 "자율주행 친화도로" 지수를 만들고, 향후 자율주행 기반 이동격차 해소 전략의 우선 도입 구간을 제시.</w:t>
      </w:r>
    </w:p>
    <w:p>
      <w:r>
        <w:br w:type="page"/>
      </w:r>
    </w:p>
    <w:p>
      <w:pPr>
        <w:pStyle w:val="Heading1"/>
        <w:spacing w:after="160" w:before="360"/>
      </w:pPr>
      <w:r>
        <w:t xml:space="preserve">6. 이동 접근성의 출발점 — 운전면허 취득 환경</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300"/>
      </w:tblGrid>
      <w:tr>
        <w:trPr>
          <w:tblHeader/>
        </w:trPr>
        <w:tc>
          <w:tcPr>
            <w:tcW w:type="dxa" w:w="1300"/>
            <w:shd w:fill="1F4E79" w:val="clear"/>
            <w:tcMar>
              <w:top w:type="dxa" w:w="80"/>
              <w:left w:type="dxa" w:w="100"/>
              <w:bottom w:type="dxa" w:w="80"/>
              <w:right w:type="dxa" w:w="100"/>
            </w:tcMar>
          </w:tcPr>
          <w:p>
            <w:r>
              <w:rPr>
                <w:b/>
                <w:bCs/>
                <w:color w:val="FFFFFF"/>
                <w:sz w:val="20"/>
                <w:szCs w:val="20"/>
              </w:rPr>
              <w:t xml:space="preserve">조번호</w:t>
            </w:r>
          </w:p>
        </w:tc>
        <w:tc>
          <w:tcPr>
            <w:tcW w:type="dxa" w:w="2600"/>
            <w:shd w:fill="1F4E79" w:val="clear"/>
            <w:tcMar>
              <w:top w:type="dxa" w:w="80"/>
              <w:left w:type="dxa" w:w="100"/>
              <w:bottom w:type="dxa" w:w="80"/>
              <w:right w:type="dxa" w:w="100"/>
            </w:tcMar>
          </w:tcPr>
          <w:p>
            <w:r>
              <w:rPr>
                <w:b/>
                <w:bCs/>
                <w:color w:val="FFFFFF"/>
                <w:sz w:val="20"/>
                <w:szCs w:val="20"/>
              </w:rPr>
              <w:t xml:space="preserve">제목</w:t>
            </w:r>
          </w:p>
        </w:tc>
        <w:tc>
          <w:tcPr>
            <w:tcW w:type="dxa" w:w="6300"/>
            <w:shd w:fill="1F4E79" w:val="clear"/>
            <w:tcMar>
              <w:top w:type="dxa" w:w="80"/>
              <w:left w:type="dxa" w:w="100"/>
              <w:bottom w:type="dxa" w:w="80"/>
              <w:right w:type="dxa" w:w="100"/>
            </w:tcMar>
          </w:tcPr>
          <w:p>
            <w:r>
              <w:rPr>
                <w:b/>
                <w:bCs/>
                <w:color w:val="FFFFFF"/>
                <w:sz w:val="20"/>
                <w:szCs w:val="20"/>
              </w:rPr>
              <w:t xml:space="preserve">핵심 내용 요약</w:t>
            </w:r>
          </w:p>
        </w:tc>
      </w:tr>
      <w:tr>
        <w:tc>
          <w:tcPr>
            <w:tcW w:type="dxa" w:w="1300"/>
            <w:tcMar>
              <w:top w:type="dxa" w:w="80"/>
              <w:left w:type="dxa" w:w="100"/>
              <w:bottom w:type="dxa" w:w="80"/>
              <w:right w:type="dxa" w:w="100"/>
            </w:tcMar>
          </w:tcPr>
          <w:p>
            <w:r>
              <w:rPr>
                <w:b w:val="false"/>
                <w:bCs w:val="false"/>
                <w:color w:val="000000"/>
                <w:sz w:val="20"/>
                <w:szCs w:val="20"/>
              </w:rPr>
              <w:t xml:space="preserve">제101조</w:t>
            </w:r>
          </w:p>
        </w:tc>
        <w:tc>
          <w:tcPr>
            <w:tcW w:type="dxa" w:w="2600"/>
            <w:tcMar>
              <w:top w:type="dxa" w:w="80"/>
              <w:left w:type="dxa" w:w="100"/>
              <w:bottom w:type="dxa" w:w="80"/>
              <w:right w:type="dxa" w:w="100"/>
            </w:tcMar>
          </w:tcPr>
          <w:p>
            <w:r>
              <w:rPr>
                <w:b w:val="false"/>
                <w:bCs w:val="false"/>
                <w:color w:val="000000"/>
                <w:sz w:val="20"/>
                <w:szCs w:val="20"/>
              </w:rPr>
              <w:t xml:space="preserve">학원의 시설기준 등</w:t>
            </w:r>
          </w:p>
        </w:tc>
        <w:tc>
          <w:tcPr>
            <w:tcW w:type="dxa" w:w="6300"/>
            <w:tcMar>
              <w:top w:type="dxa" w:w="80"/>
              <w:left w:type="dxa" w:w="100"/>
              <w:bottom w:type="dxa" w:w="80"/>
              <w:right w:type="dxa" w:w="100"/>
            </w:tcMar>
          </w:tcPr>
          <w:p>
            <w:r>
              <w:rPr>
                <w:b w:val="false"/>
                <w:bCs w:val="false"/>
                <w:color w:val="000000"/>
                <w:sz w:val="20"/>
                <w:szCs w:val="20"/>
              </w:rPr>
              <w:t xml:space="preserve">자동차운전학원은 장애인을 위한 교육시설 및 부대시설을 갖추어야 함.</w:t>
            </w:r>
          </w:p>
        </w:tc>
      </w:tr>
    </w:tbl>
    <w:p>
      <w:pPr>
        <w:pStyle w:val="Heading2"/>
        <w:spacing w:after="120" w:before="280"/>
      </w:pPr>
      <w:r>
        <w:t xml:space="preserve">문제의식</w:t>
      </w:r>
    </w:p>
    <w:p>
      <w:pPr>
        <w:spacing w:after="140"/>
      </w:pPr>
      <w:r>
        <w:t xml:space="preserve">이동격차 논의는 보통 "도로 위 이동"에 집중되지만, 장애인이 운전면허를 취득하는 단계의 접근성도 이동권의 출발점입니다. 이 조문은 상대적으로 덜 주목받지만, 공모전이 요구하는 "참신한 앵글"이 될 수 있습니다.</w:t>
      </w:r>
    </w:p>
    <w:p>
      <w:pPr>
        <w:pStyle w:val="Heading2"/>
        <w:spacing w:after="120" w:before="280"/>
      </w:pPr>
      <w:r>
        <w:t xml:space="preserve">공모전 연계 아이디어</w:t>
      </w:r>
    </w:p>
    <w:p>
      <w:pPr>
        <w:pStyle w:val="ListParagraph"/>
        <w:numPr>
          <w:ilvl w:val="0"/>
          <w:numId w:val="1"/>
        </w:numPr>
        <w:spacing w:after="80"/>
      </w:pPr>
      <w:r>
        <w:t xml:space="preserve">전국 자동차운전학원의 장애인 편의시설 이행 현황을 데이터화하고, 지역별 장애인 인구 대비 이행률을 비교해 면허 취득 단계에서부터 발생하는 이동권 격차를 지도화하는 제안.</w:t>
      </w:r>
    </w:p>
    <w:p>
      <w:r>
        <w:br w:type="page"/>
      </w:r>
    </w:p>
    <w:p>
      <w:pPr>
        <w:pStyle w:val="Heading1"/>
        <w:spacing w:after="160" w:before="360"/>
      </w:pPr>
      <w:r>
        <w:t xml:space="preserve">종합 제안 — 제출 방향</w:t>
      </w:r>
    </w:p>
    <w:p>
      <w:pPr>
        <w:spacing w:after="140"/>
      </w:pPr>
      <w:r>
        <w:t xml:space="preserve">여섯 테마를 관통하는 하나의 스토리로 엮는다면, "교통약자 이동격차 지수(Mobility Equity Index)"와 같은 통합 지표를 제안하는 방향을 추천합니다. 보호구역 지정 현황(제12조·제12조의2)과 실태조사 결과(제12조의4), 자전거 인프라(제13조의2·제15조의2), 통학버스 위반 데이터(제53조의4), 운전학원 장애인 시설 이행률(제101조)을 하나의 공간 데이터셋으로 통합해 지역별 격차를 시각화하고, 격차가 큰 지역에 대해 구체적 조문(예: 제12조의3 통합관리시스템 확장, 제28조의2 보행자우선도로 지정)을 근거로 한 정책을 제안하는 구성입니다.</w:t>
      </w:r>
    </w:p>
    <w:p>
      <w:pPr>
        <w:spacing w:after="140"/>
      </w:pPr>
      <w:r>
        <w:rPr>
          <w:b w:val="false"/>
          <w:bCs w:val="false"/>
        </w:rPr>
        <w:t xml:space="preserve">제출 서류는 참가신청서와 분석보고서 2종이 필수이며, 접수 기간(8.18~10.22) 내 이메일(yaerumjung@koreashe.org) 제출입니다. 분석보고서에는 위 프레임워크의 3단계(관련 조문 → 문제의식 → 연계 아이디어)를 그대로 목차로 활용하면 심사위원이 "법·제도적 근거가 탄탄한 데이터 분석"이라는 인상을 받기 쉽습니다.</w:t>
      </w:r>
    </w:p>
    <w:p>
      <w:pPr>
        <w:pBdr>
          <w:bottom w:val="single" w:color="999999" w:sz="6" w:space="1"/>
        </w:pBdr>
        <w:spacing w:after="200"/>
      </w:pPr>
    </w:p>
    <w:p>
      <w:pPr>
        <w:spacing w:after="140"/>
      </w:pPr>
      <w:r>
        <w:rPr>
          <w:i/>
          <w:iCs/>
          <w:color w:val="777777"/>
          <w:sz w:val="18"/>
          <w:szCs w:val="18"/>
        </w:rPr>
        <w:t xml:space="preserve">※ 조문 원문 전체는 별도 제공된 엑셀 파일("도로교통법_교통문제공모전_관련조문.xlsx")의 두 시트(공모전 관련 조문 / 도로교통법 전체 조문)를 참고하십시오. 법령 출처: 국가법령정보센터(law.go.kr), 도로교통법 [시행 2026. 7. 1.] [법률 제21246호, 2025. 12. 30., 일부개정].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2026-09-14T02:03:41.138Z</dcterms:created>
  <dcterms:modified xsi:type="dcterms:W3CDTF">2026-09-14T02:03:41.139Z</dcterms:modified>
</cp:coreProperties>
</file>

<file path=docProps/custom.xml><?xml version="1.0" encoding="utf-8"?>
<Properties xmlns="http://schemas.openxmlformats.org/officeDocument/2006/custom-properties" xmlns:vt="http://schemas.openxmlformats.org/officeDocument/2006/docPropsVTypes"/>
</file>