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Privacidad y Protección de Datos</w:t>
      </w:r>
    </w:p>
    <w:p>
      <w:r>
        <w:rPr>
          <w:i/>
        </w:rPr>
        <w:t>NovaPay S.A. — Versión 2.0 — Vigente desde el 15/03/2025</w:t>
      </w:r>
    </w:p>
    <w:p>
      <w:pPr>
        <w:pStyle w:val="Heading1"/>
      </w:pPr>
      <w:r>
        <w:t>1. Datos que recolectamos</w:t>
      </w:r>
    </w:p>
    <w:p>
      <w:r>
        <w:t>Recolectamos datos de identificación (nombre, documento, fecha de nacimiento), datos de contacto (correo electrónico, teléfono, domicilio), datos financieros y transaccionales (movimientos, saldos, medios de pago asociados), datos biométricos utilizados exclusivamente para la validación de identidad al momento del alta, y datos técnicos de navegación (dirección IP, identificador de dispositivo, registros de acceso).</w:t>
      </w:r>
    </w:p>
    <w:p>
      <w:pPr>
        <w:pStyle w:val="Heading1"/>
      </w:pPr>
      <w:r>
        <w:t>2. Finalidad y base legal</w:t>
      </w:r>
    </w:p>
    <w:p>
      <w:r>
        <w:t>Los datos se tratan para la prestación del servicio financiero contratado, el cumplimiento de obligaciones legales y regulatorias en materia de prevención de lavado de activos, la prevención del fraude, y —solo mediando consentimiento expreso y revocable— el envío de comunicaciones comerciales.</w:t>
      </w:r>
    </w:p>
    <w:p>
      <w:pPr>
        <w:pStyle w:val="Heading1"/>
      </w:pPr>
      <w:r>
        <w:t>3. Plazos de conservación</w:t>
      </w:r>
    </w:p>
    <w:p>
      <w:r>
        <w:t>Los datos de transacciones y los registros de operaciones se conservan durante 10 años desde la finalización de la relación comercial, plazo impuesto por la normativa de prevención de lavado de activos y financiación del terrorismo. Este plazo no puede reducirse a pedido del titular.</w:t>
      </w:r>
    </w:p>
    <w:p>
      <w:r>
        <w:t>Los datos utilizados con fines de marketing se eliminan a los 24 meses de la baja de la cuenta o de la revocación del consentimiento, lo que ocurra primero. Los registros técnicos de navegación se conservan por 12 meses.</w:t>
      </w:r>
    </w:p>
    <w:p>
      <w:pPr>
        <w:pStyle w:val="Heading1"/>
      </w:pPr>
      <w:r>
        <w:t>4. Derechos del titular de los datos</w:t>
      </w:r>
    </w:p>
    <w:p>
      <w:r>
        <w:t>El titular puede solicitar en cualquier momento el acceso a sus datos personales, su rectificación cuando sean inexactos, su supresión cuando no exista obligación legal de conservarlos, la limitación u oposición al tratamiento, y la portabilidad de sus datos en un formato estructurado y de uso común.</w:t>
      </w:r>
    </w:p>
    <w:p>
      <w:r>
        <w:t>Las solicitudes se presentan escribiendo a privacidad@novapay.example. La empresa dispone de un plazo de 15 días hábiles para responder, prorrogable por 15 días hábiles adicionales cuando la complejidad del pedido lo justifique, notificando la prórroga al titular.</w:t>
      </w:r>
    </w:p>
    <w:p>
      <w:pPr>
        <w:pStyle w:val="Heading1"/>
      </w:pPr>
      <w:r>
        <w:t>5. Medidas de seguridad</w:t>
      </w:r>
    </w:p>
    <w:p>
      <w:r>
        <w:t>La información se cifra en reposo con AES-256 y en tránsito con TLS 1.3. El acceso a datos personales por parte del personal está restringido según el principio de mínimo privilegio y queda registrado en logs de auditoría inalterables conservados por 24 meses.</w:t>
      </w:r>
    </w:p>
    <w:p>
      <w:pPr>
        <w:pStyle w:val="Heading1"/>
      </w:pPr>
      <w:r>
        <w:t>6. Notificación de incidentes</w:t>
      </w:r>
    </w:p>
    <w:p>
      <w:r>
        <w:t>Ante un incidente de seguridad que comprometa datos personales, la empresa notifica a la autoridad de control dentro de las 72 horas de tomar conocimiento, y a los titulares afectados sin dilación indebida cuando el incidente suponga un riesgo alto para sus derechos.</w:t>
      </w:r>
    </w:p>
    <w:p>
      <w:pPr>
        <w:pStyle w:val="Heading1"/>
      </w:pPr>
      <w:r>
        <w:t>7. Transferencias internacionales</w:t>
      </w:r>
    </w:p>
    <w:p>
      <w:r>
        <w:t>Algunos proveedores de infraestructura se encuentran fuera del país. Toda transferencia internacional se realiza al amparo de cláusulas contractuales tipo y únicamente hacia jurisdicciones con nivel de protección adecuado.</w:t>
      </w:r>
    </w:p>
    <w:p>
      <w:pPr>
        <w:pStyle w:val="Heading1"/>
      </w:pPr>
      <w:r>
        <w:t>8. Área responsable</w:t>
      </w:r>
    </w:p>
    <w:p>
      <w:r>
        <w:t>El responsable del tratamiento es la Gerencia Legal y Compliance. Oficial de Protección de Datos: Ing. Rubén Cortés. Contacto: privacidad@novapay.example. Consultas de compliance: legal@novapay.example.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Privacidad y Protección de Datos</dc:title>
  <dc:subject/>
  <dc:creator>NovaPay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