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28"/>
          <w:szCs w:val="28"/>
        </w:rPr>
        <w:t xml:space="preserve">Conservation of the Dot/Icm secretion system across Legionella and related bacteria</w:t>
      </w:r>
    </w:p>
    <w:p>
      <w:pPr>
        <w:spacing w:after="40"/>
      </w:pPr>
      <w:r>
        <w:rPr>
          <w:color w:val="595959"/>
          <w:sz w:val="16"/>
          <w:szCs w:val="16"/>
        </w:rPr>
        <w:t xml:space="preserve">Chockkshi Devaraj Kalpana  |  Comparative genomics mini project  |  October 2026  |  Code: github.com/chockkshi/Legionella-DotIcm-Phylogeny</w:t>
      </w:r>
    </w:p>
    <w:p>
      <w:pPr>
        <w:pBdr>
          <w:bottom w:val="single" w:color="2E75B6" w:sz="6" w:space="1"/>
        </w:pBdr>
        <w:spacing w:after="40" w:before="100"/>
      </w:pPr>
      <w:r>
        <w:rPr>
          <w:b/>
          <w:bCs/>
          <w:color w:val="1F3864"/>
          <w:sz w:val="21"/>
          <w:szCs w:val="21"/>
        </w:rPr>
        <w:t xml:space="preserve">Aim and methods</w:t>
      </w:r>
    </w:p>
    <w:p>
      <w:pPr>
        <w:spacing w:after="50"/>
      </w:pPr>
      <w:r>
        <w:rPr>
          <w:b/>
          <w:bCs/>
          <w:sz w:val="18"/>
          <w:szCs w:val="18"/>
        </w:rPr>
        <w:t xml:space="preserve">Aim:</w:t>
      </w:r>
      <w:r>
        <w:rPr>
          <w:sz w:val="18"/>
          <w:szCs w:val="18"/>
        </w:rPr>
        <w:t xml:space="preserve"> to test whether the Dot/Icm type IVB secretion system, which </w:t>
      </w:r>
      <w:r>
        <w:rPr>
          <w:i/>
          <w:iCs/>
          <w:sz w:val="18"/>
          <w:szCs w:val="18"/>
        </w:rPr>
        <w:t xml:space="preserve">Legionella</w:t>
      </w:r>
      <w:r>
        <w:rPr>
          <w:sz w:val="18"/>
          <w:szCs w:val="18"/>
        </w:rPr>
        <w:t xml:space="preserve"> uses to survive inside host cells, is conserved across the genus and shared with related intracellular bacteria; a small-scale practice run of comparative genomics methods for studying host adaptation.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Data:</w:t>
      </w:r>
      <w:r>
        <w:rPr>
          <w:sz w:val="18"/>
          <w:szCs w:val="18"/>
        </w:rPr>
        <w:t xml:space="preserve"> 11 RefSeq proteomes (NCBI): eight </w:t>
      </w:r>
      <w:r>
        <w:rPr>
          <w:i/>
          <w:iCs/>
          <w:sz w:val="18"/>
          <w:szCs w:val="18"/>
        </w:rPr>
        <w:t xml:space="preserve">Legionella</w:t>
      </w:r>
      <w:r>
        <w:rPr>
          <w:sz w:val="18"/>
          <w:szCs w:val="18"/>
        </w:rPr>
        <w:t xml:space="preserve"> species (</w:t>
      </w:r>
      <w:r>
        <w:rPr>
          <w:i/>
          <w:iCs/>
          <w:sz w:val="18"/>
          <w:szCs w:val="18"/>
        </w:rPr>
        <w:t xml:space="preserve">anisa, bozemanae, feeleii, jordanis, longbeachae, micdadei, oakridgensis, pneumophila</w:t>
      </w:r>
      <w:r>
        <w:rPr>
          <w:sz w:val="18"/>
          <w:szCs w:val="18"/>
        </w:rPr>
        <w:t xml:space="preserve">), </w:t>
      </w:r>
      <w:r>
        <w:rPr>
          <w:i/>
          <w:iCs/>
          <w:sz w:val="18"/>
          <w:szCs w:val="18"/>
        </w:rPr>
        <w:t xml:space="preserve">Coxiella burnetii</w:t>
      </w:r>
      <w:r>
        <w:rPr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 xml:space="preserve">Francisella tularensis</w:t>
      </w:r>
      <w:r>
        <w:rPr>
          <w:sz w:val="18"/>
          <w:szCs w:val="18"/>
        </w:rPr>
        <w:t xml:space="preserve"> and </w:t>
      </w:r>
      <w:r>
        <w:rPr>
          <w:i/>
          <w:iCs/>
          <w:sz w:val="18"/>
          <w:szCs w:val="18"/>
        </w:rPr>
        <w:t xml:space="preserve">E. coli</w:t>
      </w:r>
      <w:r>
        <w:rPr>
          <w:sz w:val="18"/>
          <w:szCs w:val="18"/>
        </w:rPr>
        <w:t xml:space="preserve"> K-12 (outgroup).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Tree:</w:t>
      </w:r>
      <w:r>
        <w:rPr>
          <w:sz w:val="18"/>
          <w:szCs w:val="18"/>
        </w:rPr>
        <w:t xml:space="preserve"> rpoB protein from each proteome, NGPhylogeny.fr One Click workflow (PhyML), rooted on </w:t>
      </w:r>
      <w:r>
        <w:rPr>
          <w:i/>
          <w:iCs/>
          <w:sz w:val="18"/>
          <w:szCs w:val="18"/>
        </w:rPr>
        <w:t xml:space="preserve">E. coli</w:t>
      </w:r>
      <w:r>
        <w:rPr>
          <w:sz w:val="18"/>
          <w:szCs w:val="18"/>
        </w:rPr>
        <w:t xml:space="preserve">, drawn in iTOL.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Gene search:</w:t>
      </w:r>
      <w:r>
        <w:rPr>
          <w:sz w:val="18"/>
          <w:szCs w:val="18"/>
        </w:rPr>
        <w:t xml:space="preserve"> 11 Dot/Icm proteins from </w:t>
      </w:r>
      <w:r>
        <w:rPr>
          <w:i/>
          <w:iCs/>
          <w:sz w:val="18"/>
          <w:szCs w:val="18"/>
        </w:rPr>
        <w:t xml:space="preserve">L. pneumophila</w:t>
      </w:r>
      <w:r>
        <w:rPr>
          <w:sz w:val="18"/>
          <w:szCs w:val="18"/>
        </w:rPr>
        <w:t xml:space="preserve"> as BLASTP queries; best hit by bitscore; present at ≥30% identity and ≥50% query coverage. DotB hits in </w:t>
      </w:r>
      <w:r>
        <w:rPr>
          <w:i/>
          <w:iCs/>
          <w:sz w:val="18"/>
          <w:szCs w:val="18"/>
        </w:rPr>
        <w:t xml:space="preserve">E. coli</w:t>
      </w:r>
      <w:r>
        <w:rPr>
          <w:sz w:val="18"/>
          <w:szCs w:val="18"/>
        </w:rPr>
        <w:t xml:space="preserve"> and </w:t>
      </w:r>
      <w:r>
        <w:rPr>
          <w:i/>
          <w:iCs/>
          <w:sz w:val="18"/>
          <w:szCs w:val="18"/>
        </w:rPr>
        <w:t xml:space="preserve">Francisella</w:t>
      </w:r>
      <w:r>
        <w:rPr>
          <w:sz w:val="18"/>
          <w:szCs w:val="18"/>
        </w:rPr>
        <w:t xml:space="preserve"> were tested by reciprocal best hit.</w:t>
      </w:r>
    </w:p>
    <w:p>
      <w:pPr>
        <w:pBdr>
          <w:bottom w:val="single" w:color="2E75B6" w:sz="6" w:space="1"/>
        </w:pBdr>
        <w:spacing w:after="40" w:before="100"/>
      </w:pPr>
      <w:r>
        <w:rPr>
          <w:b/>
          <w:bCs/>
          <w:color w:val="1F3864"/>
          <w:sz w:val="21"/>
          <w:szCs w:val="21"/>
        </w:rPr>
        <w:t xml:space="preserve">Results</w:t>
      </w:r>
    </w:p>
    <w:p>
      <w:pPr>
        <w:spacing w:after="20" w:before="20"/>
        <w:jc w:val="center"/>
      </w:pPr>
      <w:r>
        <w:drawing>
          <wp:inline distT="0" distB="0" distL="0" distR="0">
            <wp:extent cx="5715000" cy="1581150"/>
            <wp:effectExtent t="0" r="0" b="0" l="0"/>
            <wp:docPr id="1" name="fig1" descr="rpoB tree of 11 bacteria with presence or absence of 11 Dot/Icm genes" title="Tree and Dot/Icm pres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</w:pPr>
      <w:r>
        <w:rPr>
          <w:b/>
          <w:bCs/>
          <w:color w:val="404040"/>
          <w:sz w:val="16"/>
          <w:szCs w:val="16"/>
        </w:rPr>
        <w:t xml:space="preserve">Figure 1.</w:t>
      </w:r>
      <w:r>
        <w:rPr>
          <w:color w:val="404040"/>
          <w:sz w:val="16"/>
          <w:szCs w:val="16"/>
        </w:rPr>
        <w:t xml:space="preserve"> rpoB tree rooted on </w:t>
      </w:r>
      <w:r>
        <w:rPr>
          <w:i/>
          <w:iCs/>
          <w:color w:val="404040"/>
          <w:sz w:val="16"/>
          <w:szCs w:val="16"/>
        </w:rPr>
        <w:t xml:space="preserve">E. coli</w:t>
      </w:r>
      <w:r>
        <w:rPr>
          <w:color w:val="404040"/>
          <w:sz w:val="16"/>
          <w:szCs w:val="16"/>
        </w:rPr>
        <w:t xml:space="preserve"> (branch lengths not shown; numbers are branch support, 0 to 1) with presence (filled) or absence (empty) of 11 Dot/Icm genes.</w:t>
      </w:r>
    </w:p>
    <w:p>
      <w:pPr>
        <w:spacing w:after="30" w:before="60"/>
      </w:pPr>
      <w:r>
        <w:rPr>
          <w:b/>
          <w:bCs/>
          <w:color w:val="404040"/>
          <w:sz w:val="16"/>
          <w:szCs w:val="16"/>
        </w:rPr>
        <w:t xml:space="preserve">Table 1.</w:t>
      </w:r>
      <w:r>
        <w:rPr>
          <w:color w:val="404040"/>
          <w:sz w:val="16"/>
          <w:szCs w:val="16"/>
        </w:rPr>
        <w:t xml:space="preserve"> Dot/Icm genes detected (of 11) at ≥30% identity and ≥50% coverage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5100"/>
      </w:tblGrid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Organism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Detected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Not detected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Legionella</w:t>
            </w:r>
            <w:r>
              <w:rPr>
                <w:sz w:val="16"/>
                <w:szCs w:val="16"/>
              </w:rPr>
              <w:t xml:space="preserve"> (8 species)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11 of 11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None, in every species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Coxiella burnetii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 of 11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dotA, icmL, icmX (weak or partial similarity)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Francisella tularensis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 of 11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(DotB-like hit failed reciprocal test)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Escherichia coli</w:t>
            </w:r>
            <w:r>
              <w:rPr>
                <w:sz w:val="16"/>
                <w:szCs w:val="16"/>
              </w:rPr>
              <w:t xml:space="preserve"> K-12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 of 11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(DotB-like hit failed reciprocal test)</w:t>
            </w:r>
          </w:p>
        </w:tc>
      </w:tr>
    </w:tbl>
    <w:p>
      <w:pPr>
        <w:spacing w:after="30" w:before="60"/>
      </w:pPr>
      <w:r>
        <w:rPr>
          <w:b/>
          <w:bCs/>
          <w:color w:val="404040"/>
          <w:sz w:val="16"/>
          <w:szCs w:val="16"/>
        </w:rPr>
        <w:t xml:space="preserve">Table 2.</w:t>
      </w:r>
      <w:r>
        <w:rPr>
          <w:color w:val="404040"/>
          <w:sz w:val="16"/>
          <w:szCs w:val="16"/>
        </w:rPr>
        <w:t xml:space="preserve"> Evidence behind the borderline calls (best hit to </w:t>
      </w:r>
      <w:r>
        <w:rPr>
          <w:i/>
          <w:iCs/>
          <w:color w:val="404040"/>
          <w:sz w:val="16"/>
          <w:szCs w:val="16"/>
        </w:rPr>
        <w:t xml:space="preserve">L. pneumophila</w:t>
      </w:r>
      <w:r>
        <w:rPr>
          <w:color w:val="404040"/>
          <w:sz w:val="16"/>
          <w:szCs w:val="16"/>
        </w:rPr>
        <w:t xml:space="preserve"> protein)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500"/>
        <w:gridCol w:w="3600"/>
      </w:tblGrid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Comparison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Identity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Coverage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DotB: </w:t>
            </w:r>
            <w:r>
              <w:rPr>
                <w:i/>
                <w:iCs/>
                <w:sz w:val="16"/>
                <w:szCs w:val="16"/>
              </w:rPr>
              <w:t xml:space="preserve">Legionella</w:t>
            </w:r>
            <w:r>
              <w:rPr>
                <w:sz w:val="16"/>
                <w:szCs w:val="16"/>
              </w:rPr>
              <w:t xml:space="preserve"> (8) / </w:t>
            </w:r>
            <w:r>
              <w:rPr>
                <w:i/>
                <w:iCs/>
                <w:sz w:val="16"/>
                <w:szCs w:val="16"/>
              </w:rPr>
              <w:t xml:space="preserve">Coxiella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89–94% / 66%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98–100% / 96%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Reciprocal best hit: true DotB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DotB: </w:t>
            </w:r>
            <w:r>
              <w:rPr>
                <w:i/>
                <w:iCs/>
                <w:sz w:val="16"/>
                <w:szCs w:val="16"/>
              </w:rPr>
              <w:t xml:space="preserve">E. coli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i/>
                <w:iCs/>
                <w:sz w:val="16"/>
                <w:szCs w:val="16"/>
              </w:rPr>
              <w:t xml:space="preserve">Francisella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38% / 32%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57% / 81%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Not reciprocal: related ATPase, scored absent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Coxiella</w:t>
            </w:r>
            <w:r>
              <w:rPr>
                <w:sz w:val="16"/>
                <w:szCs w:val="16"/>
              </w:rPr>
              <w:t xml:space="preserve"> dotA / icmL / icmX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32% / 25% / 28%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32% / 59% / 33%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Below threshold: "not detected"</w:t>
            </w:r>
          </w:p>
        </w:tc>
      </w:tr>
    </w:tbl>
    <w:p>
      <w:pPr>
        <w:spacing w:after="30" w:before="60"/>
      </w:pPr>
      <w:r>
        <w:rPr>
          <w:b/>
          <w:bCs/>
          <w:sz w:val="18"/>
          <w:szCs w:val="18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The Dot/Icm system is complete in all eight </w:t>
      </w:r>
      <w:r>
        <w:rPr>
          <w:i/>
          <w:iCs/>
          <w:sz w:val="18"/>
          <w:szCs w:val="18"/>
        </w:rPr>
        <w:t xml:space="preserve">Legionella</w:t>
      </w:r>
      <w:r>
        <w:rPr>
          <w:sz w:val="18"/>
          <w:szCs w:val="18"/>
        </w:rPr>
        <w:t xml:space="preserve"> species and mostly present in </w:t>
      </w:r>
      <w:r>
        <w:rPr>
          <w:i/>
          <w:iCs/>
          <w:sz w:val="18"/>
          <w:szCs w:val="18"/>
        </w:rPr>
        <w:t xml:space="preserve">Coxiella</w:t>
      </w:r>
      <w:r>
        <w:rPr>
          <w:sz w:val="18"/>
          <w:szCs w:val="18"/>
        </w:rPr>
        <w:t xml:space="preserve">, but not detected in </w:t>
      </w:r>
      <w:r>
        <w:rPr>
          <w:i/>
          <w:iCs/>
          <w:sz w:val="18"/>
          <w:szCs w:val="18"/>
        </w:rPr>
        <w:t xml:space="preserve">Francisella</w:t>
      </w:r>
      <w:r>
        <w:rPr>
          <w:sz w:val="18"/>
          <w:szCs w:val="18"/>
        </w:rPr>
        <w:t xml:space="preserve"> or </w:t>
      </w:r>
      <w:r>
        <w:rPr>
          <w:i/>
          <w:iCs/>
          <w:sz w:val="18"/>
          <w:szCs w:val="18"/>
        </w:rPr>
        <w:t xml:space="preserve">E. coli</w:t>
      </w:r>
      <w:r>
        <w:rPr>
          <w:sz w:val="18"/>
          <w:szCs w:val="18"/>
        </w:rPr>
        <w:t xml:space="preserve">, so it tracks the </w:t>
      </w:r>
      <w:r>
        <w:rPr>
          <w:i/>
          <w:iCs/>
          <w:sz w:val="18"/>
          <w:szCs w:val="18"/>
        </w:rPr>
        <w:t xml:space="preserve">Legionella</w:t>
      </w:r>
      <w:r>
        <w:rPr>
          <w:sz w:val="18"/>
          <w:szCs w:val="18"/>
        </w:rPr>
        <w:t xml:space="preserve">–</w:t>
      </w:r>
      <w:r>
        <w:rPr>
          <w:i/>
          <w:iCs/>
          <w:sz w:val="18"/>
          <w:szCs w:val="18"/>
        </w:rPr>
        <w:t xml:space="preserve">Coxiella</w:t>
      </w:r>
      <w:r>
        <w:rPr>
          <w:sz w:val="18"/>
          <w:szCs w:val="18"/>
        </w:rPr>
        <w:t xml:space="preserve"> lineage.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i/>
          <w:iCs/>
          <w:sz w:val="18"/>
          <w:szCs w:val="18"/>
        </w:rPr>
        <w:t xml:space="preserve">Legionella</w:t>
      </w:r>
      <w:r>
        <w:rPr>
          <w:sz w:val="18"/>
          <w:szCs w:val="18"/>
        </w:rPr>
        <w:t xml:space="preserve"> forms one strongly supported group (support 1), with </w:t>
      </w:r>
      <w:r>
        <w:rPr>
          <w:i/>
          <w:iCs/>
          <w:sz w:val="18"/>
          <w:szCs w:val="18"/>
        </w:rPr>
        <w:t xml:space="preserve">Coxiella</w:t>
      </w:r>
      <w:r>
        <w:rPr>
          <w:sz w:val="18"/>
          <w:szCs w:val="18"/>
        </w:rPr>
        <w:t xml:space="preserve"> as its sister (0.912). Support for the early splits within the genus is low (0 to 0.17) and is not interpreted.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i/>
          <w:iCs/>
          <w:sz w:val="18"/>
          <w:szCs w:val="18"/>
        </w:rPr>
        <w:t xml:space="preserve">Francisella</w:t>
      </w:r>
      <w:r>
        <w:rPr>
          <w:sz w:val="18"/>
          <w:szCs w:val="18"/>
        </w:rPr>
        <w:t xml:space="preserve"> lives inside cells without Dot/Icm, so an intracellular lifestyle does not require this system.</w:t>
      </w:r>
    </w:p>
    <w:p>
      <w:pPr>
        <w:pBdr>
          <w:bottom w:val="single" w:color="2E75B6" w:sz="6" w:space="1"/>
        </w:pBdr>
        <w:spacing w:after="40" w:before="100"/>
      </w:pPr>
      <w:r>
        <w:rPr>
          <w:b/>
          <w:bCs/>
          <w:color w:val="1F3864"/>
          <w:sz w:val="21"/>
          <w:szCs w:val="21"/>
        </w:rPr>
        <w:t xml:space="preserve">Interpretation and limitations</w:t>
      </w:r>
    </w:p>
    <w:p>
      <w:pPr>
        <w:spacing w:after="50"/>
      </w:pPr>
      <w:r>
        <w:rPr>
          <w:sz w:val="18"/>
          <w:szCs w:val="18"/>
        </w:rPr>
        <w:t xml:space="preserve">The pattern is consistent with Dot/Icm being a conserved core feature of </w:t>
      </w:r>
      <w:r>
        <w:rPr>
          <w:i/>
          <w:iCs/>
          <w:sz w:val="18"/>
          <w:szCs w:val="18"/>
        </w:rPr>
        <w:t xml:space="preserve">Legionella</w:t>
      </w:r>
      <w:r>
        <w:rPr>
          <w:sz w:val="18"/>
          <w:szCs w:val="18"/>
        </w:rPr>
        <w:t xml:space="preserve">, shared with </w:t>
      </w:r>
      <w:r>
        <w:rPr>
          <w:i/>
          <w:iCs/>
          <w:sz w:val="18"/>
          <w:szCs w:val="18"/>
        </w:rPr>
        <w:t xml:space="preserve">Coxiella</w:t>
      </w:r>
      <w:r>
        <w:rPr>
          <w:sz w:val="18"/>
          <w:szCs w:val="18"/>
        </w:rPr>
        <w:t xml:space="preserve"> and probably present in their common ancestor. Limitations: single-gene tree on 11 genomes, no molecular dating, calls depend on BLAST thresholds (only dotB had a reciprocal check), divergent genes may be missed (a profile HMM search would be more sensitive), gene presence does not show function, small sample. Next steps: many-gene phylogeny with dating, orthogroup-wide host-adaptation gene analysis, and horizontal gene transfer screening.</w:t>
      </w:r>
    </w:p>
    <w:sectPr>
      <w:pgSz w:w="11906" w:h="16838" w:orient="portrait"/>
      <w:pgMar w:top="60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fd554c5466c5b6e7ec3a81731f0d6796ea796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Conservation of the Dot/Icm secretion system across Legionella</dc:title>
  <dc:creator>Chockkshi Devaraj Kalpana</dc:creator>
  <cp:lastModifiedBy>Un-named</cp:lastModifiedBy>
  <cp:revision>1</cp:revision>
  <dcterms:created xsi:type="dcterms:W3CDTF">2026-10-13T19:15:12.796Z</dcterms:created>
  <dcterms:modified xsi:type="dcterms:W3CDTF">2026-10-13T19:15:12.801Z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