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469"/>
        <w:tblBorders>
          <w:top w:val="none" w:color="auto" w:sz="0"/>
          <w:left w:val="none" w:color="auto" w:sz="0"/>
          <w:bottom w:val="none" w:color="auto" w:sz="0"/>
          <w:right w:val="none" w:color="auto" w:sz="0"/>
          <w:insideH w:val="none" w:color="auto" w:sz="0"/>
          <w:insideV w:val="none" w:color="auto" w:sz="0"/>
        </w:tblBorders>
      </w:tblPr>
      <w:tblGrid>
        <w:gridCol w:w="4500"/>
        <w:gridCol w:w="4969"/>
      </w:tblGrid>
      <w:tr>
        <w:tc>
          <w:tcPr>
            <w:tcW w:type="dxa" w:w="4500"/>
            <w:tcBorders>
              <w:top w:val="none" w:color="auto" w:sz="0"/>
              <w:left w:val="none" w:color="auto" w:sz="0"/>
              <w:bottom w:val="none" w:color="auto" w:sz="0"/>
              <w:right w:val="none" w:color="auto" w:sz="0"/>
            </w:tcBorders>
          </w:tcPr>
          <w:p>
            <w:pPr>
              <w:spacing w:after="30"/>
              <w:jc w:val="center"/>
            </w:pPr>
            <w:r>
              <w:rPr>
                <w:rFonts w:ascii="Times New Roman" w:cs="Times New Roman" w:eastAsia="Times New Roman" w:hAnsi="Times New Roman"/>
                <w:b/>
                <w:bCs/>
                <w:sz w:val="24"/>
                <w:szCs w:val="24"/>
              </w:rPr>
              <w:t xml:space="preserve">ĐẢNG BỘ HUYỆN THÁP MƯỜI</w:t>
            </w:r>
          </w:p>
          <w:p>
            <w:pPr>
              <w:spacing w:after="30"/>
              <w:jc w:val="center"/>
            </w:pPr>
            <w:r>
              <w:rPr>
                <w:rFonts w:ascii="Times New Roman" w:cs="Times New Roman" w:eastAsia="Times New Roman" w:hAnsi="Times New Roman"/>
                <w:b/>
                <w:bCs/>
                <w:sz w:val="24"/>
                <w:szCs w:val="24"/>
              </w:rPr>
              <w:t xml:space="preserve">ĐẢNG UỶ TRƯỜNG THCS VÀ THPT</w:t>
            </w:r>
          </w:p>
          <w:p>
            <w:pPr>
              <w:spacing w:after="60"/>
              <w:jc w:val="center"/>
            </w:pPr>
            <w:r>
              <w:rPr>
                <w:rFonts w:ascii="Times New Roman" w:cs="Times New Roman" w:eastAsia="Times New Roman" w:hAnsi="Times New Roman"/>
                <w:b/>
                <w:bCs/>
                <w:sz w:val="24"/>
                <w:szCs w:val="24"/>
              </w:rPr>
              <w:t xml:space="preserve">ĐỐC BINH KIỀU</w:t>
            </w:r>
          </w:p>
          <w:p>
            <w:pPr>
              <w:spacing w:after="30"/>
              <w:jc w:val="center"/>
            </w:pPr>
            <w:r>
              <w:rPr>
                <w:rFonts w:ascii="Times New Roman" w:cs="Times New Roman" w:eastAsia="Times New Roman" w:hAnsi="Times New Roman"/>
                <w:b/>
                <w:bCs/>
                <w:sz w:val="22"/>
                <w:szCs w:val="22"/>
              </w:rPr>
              <w:t xml:space="preserve">* * *</w:t>
            </w:r>
          </w:p>
          <w:p>
            <w:pPr>
              <w:jc w:val="center"/>
            </w:pPr>
            <w:r>
              <w:rPr>
                <w:rFonts w:ascii="Times New Roman" w:cs="Times New Roman" w:eastAsia="Times New Roman" w:hAnsi="Times New Roman"/>
                <w:b/>
                <w:bCs/>
                <w:sz w:val="24"/>
                <w:szCs w:val="24"/>
              </w:rPr>
              <w:t xml:space="preserve">Số: 03-CTr/ĐU</w:t>
            </w:r>
          </w:p>
        </w:tc>
        <w:tc>
          <w:tcPr>
            <w:tcW w:type="dxa" w:w="4969"/>
            <w:tcBorders>
              <w:top w:val="none" w:color="auto" w:sz="0"/>
              <w:left w:val="none" w:color="auto" w:sz="0"/>
              <w:bottom w:val="none" w:color="auto" w:sz="0"/>
              <w:right w:val="none" w:color="auto" w:sz="0"/>
            </w:tcBorders>
          </w:tcPr>
          <w:p>
            <w:pPr>
              <w:spacing w:after="30"/>
              <w:jc w:val="center"/>
            </w:pPr>
            <w:r>
              <w:rPr>
                <w:rFonts w:ascii="Times New Roman" w:cs="Times New Roman" w:eastAsia="Times New Roman" w:hAnsi="Times New Roman"/>
                <w:b/>
                <w:bCs/>
                <w:sz w:val="24"/>
                <w:szCs w:val="24"/>
              </w:rPr>
              <w:t xml:space="preserve">ĐẢNG CỘNG SẢN VIỆT NAM</w:t>
            </w:r>
          </w:p>
          <w:p>
            <w:pPr>
              <w:spacing w:after="60"/>
              <w:jc w:val="center"/>
            </w:pPr>
            <w:r>
              <w:rPr>
                <w:rFonts w:ascii="Times New Roman" w:cs="Times New Roman" w:eastAsia="Times New Roman" w:hAnsi="Times New Roman"/>
                <w:b/>
                <w:bCs/>
                <w:sz w:val="20"/>
                <w:szCs w:val="20"/>
              </w:rPr>
              <w:t xml:space="preserve">-----------------------</w:t>
            </w:r>
          </w:p>
          <w:p>
            <w:pPr>
              <w:jc w:val="center"/>
            </w:pPr>
            <w:r>
              <w:rPr>
                <w:rFonts w:ascii="Times New Roman" w:cs="Times New Roman" w:eastAsia="Times New Roman" w:hAnsi="Times New Roman"/>
                <w:i/>
                <w:iCs/>
                <w:sz w:val="24"/>
                <w:szCs w:val="24"/>
              </w:rPr>
              <w:t xml:space="preserve">Đốc Binh Kiều, ngày 20 tháng 9 năm 2026</w:t>
            </w:r>
          </w:p>
        </w:tc>
      </w:tr>
    </w:tbl>
    <w:p>
      <w:pPr>
        <w:spacing w:after="60" w:before="180"/>
        <w:jc w:val="center"/>
      </w:pPr>
      <w:r>
        <w:rPr>
          <w:rFonts w:ascii="Times New Roman" w:cs="Times New Roman" w:eastAsia="Times New Roman" w:hAnsi="Times New Roman"/>
          <w:b/>
          <w:bCs/>
          <w:sz w:val="30"/>
          <w:szCs w:val="30"/>
        </w:rPr>
        <w:t xml:space="preserve">CHƯƠNG TRÌNH HÀNH ĐỘNG TOÀN KHÓA</w:t>
      </w:r>
    </w:p>
    <w:p>
      <w:pPr>
        <w:spacing w:after="120"/>
        <w:jc w:val="center"/>
      </w:pPr>
      <w:r>
        <w:rPr>
          <w:rFonts w:ascii="Times New Roman" w:cs="Times New Roman" w:eastAsia="Times New Roman" w:hAnsi="Times New Roman"/>
          <w:b/>
          <w:bCs/>
          <w:sz w:val="26"/>
          <w:szCs w:val="26"/>
        </w:rPr>
        <w:t xml:space="preserve">CỦA BAN CHẤP HÀNH ĐẢNG BỘ TRƯỜNG THCS VÀ THPT ĐỐC BINH KIỀU</w:t>
      </w:r>
    </w:p>
    <w:p>
      <w:pPr>
        <w:spacing w:after="180"/>
        <w:jc w:val="center"/>
      </w:pPr>
      <w:r>
        <w:rPr>
          <w:rFonts w:ascii="Times New Roman" w:cs="Times New Roman" w:eastAsia="Times New Roman" w:hAnsi="Times New Roman"/>
          <w:b/>
          <w:bCs/>
          <w:sz w:val="26"/>
          <w:szCs w:val="26"/>
        </w:rPr>
        <w:t xml:space="preserve">KHÓA I, NHIỆM KỲ 2025 – 2030</w:t>
      </w:r>
    </w:p>
    <w:p>
      <w:pPr>
        <w:spacing w:after="120"/>
        <w:jc w:val="center"/>
      </w:pPr>
      <w:r>
        <w:rPr>
          <w:rFonts w:ascii="Times New Roman" w:cs="Times New Roman" w:eastAsia="Times New Roman" w:hAnsi="Times New Roman"/>
          <w:b/>
          <w:bCs/>
          <w:sz w:val="24"/>
          <w:szCs w:val="24"/>
        </w:rPr>
        <w:t xml:space="preserve">-----</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Thực hiện Nghị quyết Đại hội Đảng toàn quốc lần thứ XIV; Nghị quyết Đại hội Đảng bộ tỉnh Đồng Tháp; Nghị quyết Đại hội Đảng bộ huyện Tháp Mười;</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Căn cứ Quyết định sáp nhập 3 trường: THPT Đốc Binh Kiều, THCS Đốc Binh Kiều, THCS Tân Kiều thành Trường THCS và THPT Đốc Binh Kiều;</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Ban Chấp hành Đảng bộ Trường THCS và THPT Đốc Binh Kiều khóa I ban hành Chương trình hành động toàn khóa nhiệm kỳ 2025 – 2030 với các nội dung trọng tâm như sau:</w:t>
      </w:r>
    </w:p>
    <w:p>
      <w:pPr>
        <w:spacing w:after="120" w:before="240"/>
        <w:jc w:val="center"/>
      </w:pPr>
      <w:r>
        <w:rPr>
          <w:rFonts w:ascii="Times New Roman" w:cs="Times New Roman" w:eastAsia="Times New Roman" w:hAnsi="Times New Roman"/>
          <w:b/>
          <w:bCs/>
          <w:color w:val="000000"/>
          <w:sz w:val="28"/>
          <w:szCs w:val="28"/>
        </w:rPr>
        <w:t xml:space="preserve">I. MỤC TIÊU VÀ HỆ THỐNG CHỈ TIÊU CHỦ YẾU</w:t>
      </w:r>
    </w:p>
    <w:p>
      <w:pPr>
        <w:spacing w:after="60" w:before="180"/>
        <w:jc w:val="left"/>
      </w:pPr>
      <w:r>
        <w:rPr>
          <w:rFonts w:ascii="Times New Roman" w:cs="Times New Roman" w:eastAsia="Times New Roman" w:hAnsi="Times New Roman"/>
          <w:b/>
          <w:bCs/>
          <w:color w:val="000000"/>
          <w:sz w:val="26"/>
          <w:szCs w:val="26"/>
        </w:rPr>
        <w:t xml:space="preserve">1. Mục tiêu tổng quát</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Xây dựng Đảng bộ Trường THCS và THPT Đốc Binh Kiều thực sự trong sạch, vững mạnh tiêu biểu; giữ vững khối đại đoàn kết thống nhất giữa đội ngũ 120 cán bộ, giáo viên, nhân viên từ 3 trường sau sáp nhập; nâng cao năng lực lãnh đạo và sức chiến đấu của 03 chi bộ trực thuộc; phát huy vai trò tiên phong gương mẫu của 85 đảng viên.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Tập trung lãnh đạo thực hiện thắng lợi Chương trình Giáo dục phổ thông 2018 trên cả 2 cấp THCS và THPT; nâng cao chất lượng giáo dục toàn diện và giáo dục mũi nhọn học sinh giỏi; giữ vững tỷ lệ tốt nghiệp THPT trên 99.5%; đảm bảo quyền học tập tiến bộ của 2.111 học sinh thuộc 53 lớp, trong đó chăm sóc chu đáo 25 học sinh khuyết tật học hòa nhập; hiện đại hóa cơ sở vật chất ở cả 03 điểm trường, phấn đấu đạt trường chuẩn quốc gia giai đoạn 2025 – 2030.</w:t>
      </w:r>
    </w:p>
    <w:p>
      <w:pPr>
        <w:spacing w:after="60" w:before="180"/>
        <w:jc w:val="left"/>
      </w:pPr>
      <w:r>
        <w:rPr>
          <w:rFonts w:ascii="Times New Roman" w:cs="Times New Roman" w:eastAsia="Times New Roman" w:hAnsi="Times New Roman"/>
          <w:b/>
          <w:bCs/>
          <w:color w:val="000000"/>
          <w:sz w:val="26"/>
          <w:szCs w:val="26"/>
        </w:rPr>
        <w:t xml:space="preserve">2. Hệ thống các chỉ tiêu chủ yếu toàn khóa (16 chỉ tiêu)</w:t>
      </w:r>
    </w:p>
    <w:p>
      <w:pPr>
        <w:spacing w:after="40" w:before="120"/>
        <w:jc w:val="left"/>
      </w:pPr>
      <w:r>
        <w:rPr>
          <w:rFonts w:ascii="Times New Roman" w:cs="Times New Roman" w:eastAsia="Times New Roman" w:hAnsi="Times New Roman"/>
          <w:b/>
          <w:bCs/>
          <w:i/>
          <w:iCs/>
          <w:color w:val="000000"/>
          <w:sz w:val="26"/>
          <w:szCs w:val="26"/>
        </w:rPr>
        <w:t xml:space="preserve">2.1. Về công tác xây dựng Đảng và hệ thống chính trị:</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Hàng năm, Đảng bộ xếp loại từ “Hoàn thành tốt nhiệm vụ” trở lên, trong đó có ít nhất 02 năm đạt “Hoàn thành xuất sắc nhiệm vụ”.</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Trong nhiệm kỳ, kết nạp từ 15 đến 20 đảng viên mới (chú trọng cán bộ trẻ, giáo viên giỏi và đoàn viên học sinh THPT ưu tú).</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100% chi bộ trực thuộc (03 chi bộ) hàng năm đạt mức “Hoàn thành tốt nhiệm vụ”, không có chi bộ yếu kém.</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(4) Hàng năm có 100% đảng viên hoàn thành nhiệm vụ, trong đó trên 90% đảng viên hoàn thành tốt nhiệm vụ, 15% - 20% đảng viên hoàn thành xuất sắc nhiệm vụ.</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(5) Trong nhiệm kỳ, phấn đấu có ít nhất 02 mô hình tập thể hoặc cá nhân được cấp ủy cấp trên khen thưởng về “Học tập và làm theo tư tưởng, đạo đức, phong cách Hồ Chí Minh” và “Dân vận khéo”.</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(6) Có ít nhất 02 đảng viên được Ban Thường vụ Huyện ủy khen thưởng danh hiệu “Đảng viên hoàn thành xuất sắc nhiệm vụ 05 năm liền”.</w:t>
      </w:r>
    </w:p>
    <w:p>
      <w:pPr>
        <w:spacing w:after="40" w:before="120"/>
        <w:jc w:val="left"/>
      </w:pPr>
      <w:r>
        <w:rPr>
          <w:rFonts w:ascii="Times New Roman" w:cs="Times New Roman" w:eastAsia="Times New Roman" w:hAnsi="Times New Roman"/>
          <w:b/>
          <w:bCs/>
          <w:i/>
          <w:iCs/>
          <w:color w:val="000000"/>
          <w:sz w:val="26"/>
          <w:szCs w:val="26"/>
        </w:rPr>
        <w:t xml:space="preserve">2.2. Về chuyên môn, chất lượng giáo dục và phát triển nhân lực:</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(7) Đạt từ 60 đến 80 giải học sinh giỏi văn hóa cấp tỉnh trong cả nhiệm kỳ (cả cấp THCS và cấp THPT).</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(8) Tỷ lệ tốt nghiệp THPT bình quân hàng năm đạt từ 99.5% trở lên (luôn cao hơn mặt bằng chung của tỉnh Đồng Tháp).</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(9) Tỷ lệ học sinh THCS hoàn thành chương trình lớp học đạt trên 98.5%; tỷ lệ xét công nhận tốt nghiệp THCS đạt 100%.</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(10) Tỷ lệ học sinh nghỉ bỏ học ở cả 03 điểm trường được duy trì ở mức dưới 0.4% (thấp hơn bình quân chung toàn tỉnh).</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(11) Đạt tỷ lệ 100% cán bộ, giáo viên hoàn thành bồi dưỡng kỹ năng số, ứng dụng công nghệ thông tin và AI an toàn trong giảng dạy hằng năm.</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(12) Nâng cao trình độ đội ngũ: Phấn đấu có thêm từ 05 - 08 cán bộ, giáo viên hoàn thành chương trình Thạc sĩ (nâng tổng số lên 14-17 Thạc sĩ); 100% cán bộ quản lý đạt trình độ Trung cấp LLCT trở lên.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(13) 100% học sinh khuyết tật học hòa nhập (25 em) được lập hồ sơ kế hoạch giáo dục cá nhân và theo dõi đánh giá vì sự tiến bộ theo đúng Công văn số 3326/SGDĐT-GDTrH-TX&amp;CN.</w:t>
      </w:r>
    </w:p>
    <w:p>
      <w:pPr>
        <w:spacing w:after="40" w:before="120"/>
        <w:jc w:val="left"/>
      </w:pPr>
      <w:r>
        <w:rPr>
          <w:rFonts w:ascii="Times New Roman" w:cs="Times New Roman" w:eastAsia="Times New Roman" w:hAnsi="Times New Roman"/>
          <w:b/>
          <w:bCs/>
          <w:i/>
          <w:iCs/>
          <w:color w:val="000000"/>
          <w:sz w:val="26"/>
          <w:szCs w:val="26"/>
        </w:rPr>
        <w:t xml:space="preserve">2.3. Về hoạt động ngoại khóa, đoàn thể và cơ sở vật chất:</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(14) Tỷ lệ học sinh tham gia Bảo hiểm y tế đạt 100% tại cả 3 điểm trường (2.111/2.111 học sinh).</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(15) Hàng năm tổ chức ít nhất 02 hoạt động trải nghiệm hướng nghiệp và 02 chuyến về nguồn, giáo dục truyền thống cách mạng cho học sinh tại Khu di tích Gò Tháp và Di tích Đốc Binh Kiều.</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(16) Đoàn TNCS Hồ Chí Minh và Công đoàn cơ sở nhà trường đạt danh hiệu “Hoàn thành xuất sắc nhiệm vụ” 05 năm liên tục.</w:t>
      </w:r>
    </w:p>
    <w:p>
      <w:pPr>
        <w:spacing w:after="40" w:before="120"/>
        <w:jc w:val="left"/>
      </w:pPr>
      <w:r>
        <w:rPr>
          <w:rFonts w:ascii="Times New Roman" w:cs="Times New Roman" w:eastAsia="Times New Roman" w:hAnsi="Times New Roman"/>
          <w:b/>
          <w:bCs/>
          <w:i/>
          <w:iCs/>
          <w:color w:val="000000"/>
          <w:sz w:val="26"/>
          <w:szCs w:val="26"/>
        </w:rPr>
        <w:t xml:space="preserve">2.4. Về thi đua tập thể:</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(17) Phấn đấu tập thể nhà trường đạt danh hiệu “Tập thể Lao động Xuất sắc” ít nhất 03 lần trong nhiệm kỳ, nhận Cờ thi đua của UBND tỉnh Đồng Tháp và hoàn thành công nhận Trường đạt Chuẩn quốc gia mức độ 1.</w:t>
      </w:r>
    </w:p>
    <w:p>
      <w:pPr>
        <w:spacing w:after="120" w:before="240"/>
        <w:jc w:val="center"/>
      </w:pPr>
      <w:r>
        <w:rPr>
          <w:rFonts w:ascii="Times New Roman" w:cs="Times New Roman" w:eastAsia="Times New Roman" w:hAnsi="Times New Roman"/>
          <w:b/>
          <w:bCs/>
          <w:color w:val="000000"/>
          <w:sz w:val="28"/>
          <w:szCs w:val="28"/>
        </w:rPr>
        <w:t xml:space="preserve">II. BA KHÂU ĐỘT PHÁ TOÀN KHÓA</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Đột phá 1: Đồng bộ hóa cơ chế điều hành và chuyển đổi số liên cơ sở (03 điểm trường). Xóa bỏ khoảng cách địa lý 11km giữa điểm chính và Điểm Tân Kiều bằng mô hình quản trị số: Họp giao ban trực tuyến kết hợp trực tiếp, điều hành hồ sơ trên môi trường số, 100% giáo án, học bạ và sổ điểm điện tử.</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Đột phá 2: Liên thông chất lượng dạy và học giữa 2 cấp THCS và THPT. Xây dựng chiến lược đào tạo mũi nhọn học sinh giỏi và ôn thi tuyển sinh, tốt nghiệp bài bản ngay từ khối THCS chuyển tiếp lên THPT, giữ vững vị thế chất lượng của trường trong cụm thi đua.</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Đột phá 3: Xây dựng văn hóa nhà trường đoàn kết, nhân ái, gương mẫu sau sáp nhập. Phát huy tinh thần tiên phong của 85 đảng viên, khơi dậy khát vọng cống hiến của 120 CB-GV-NV, chăm lo chu đáo đời sống vật chất và tinh thần cho người lao động.</w:t>
      </w:r>
    </w:p>
    <w:p>
      <w:pPr>
        <w:spacing w:after="120" w:before="240"/>
        <w:jc w:val="center"/>
      </w:pPr>
      <w:r>
        <w:rPr>
          <w:rFonts w:ascii="Times New Roman" w:cs="Times New Roman" w:eastAsia="Times New Roman" w:hAnsi="Times New Roman"/>
          <w:b/>
          <w:bCs/>
          <w:color w:val="000000"/>
          <w:sz w:val="28"/>
          <w:szCs w:val="28"/>
        </w:rPr>
        <w:t xml:space="preserve">III. NHIỆM VỤ VÀ CÁC GIẢI PHÁP CHỦ YẾU</w:t>
      </w:r>
    </w:p>
    <w:p>
      <w:pPr>
        <w:spacing w:after="60" w:before="180"/>
        <w:jc w:val="left"/>
      </w:pPr>
      <w:r>
        <w:rPr>
          <w:rFonts w:ascii="Times New Roman" w:cs="Times New Roman" w:eastAsia="Times New Roman" w:hAnsi="Times New Roman"/>
          <w:b/>
          <w:bCs/>
          <w:color w:val="000000"/>
          <w:sz w:val="26"/>
          <w:szCs w:val="26"/>
        </w:rPr>
        <w:t xml:space="preserve">1. Đổi mới phương thức lãnh đạo của Đảng ủy và nâng cao hiệu lực quản lý của Ban Giám hiệu</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Đổi mới mạnh mẽ lề lối làm việc theo hướng sâu sát cơ sở, phân công rõ người, rõ việc, rõ thời gian hoàn thành cho 10 đồng chí Đảng ủy viên.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Duy trì nghiêm mô hình “Cuộc họp không văn bản giấy”, khai thác tối đa nền tảng số và mạng xã hội chuyên trách để trao đổi công việc nhanh chóng, tiết kiệm.</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Đẩy mạnh cải cách thủ tục hành chính học đường; công khai minh bạch mọi quy trình công tác, chế độ chính sách và các khoản thu chi tài chính.</w:t>
      </w:r>
    </w:p>
    <w:p>
      <w:pPr>
        <w:spacing w:after="60" w:before="180"/>
        <w:jc w:val="left"/>
      </w:pPr>
      <w:r>
        <w:rPr>
          <w:rFonts w:ascii="Times New Roman" w:cs="Times New Roman" w:eastAsia="Times New Roman" w:hAnsi="Times New Roman"/>
          <w:b/>
          <w:bCs/>
          <w:color w:val="000000"/>
          <w:sz w:val="26"/>
          <w:szCs w:val="26"/>
        </w:rPr>
        <w:t xml:space="preserve">2. Công tác xây dựng, chỉnh đốn Đảng và nâng cao chất lượng đội ngũ</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Tăng cường giáo dục chính trị tư tưởng, rèn luyện phẩm chất đạo đức nhà giáo, chống các biểu hiện suy thoái, “tự diễn biến”, “tự chuyển hóa”.</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Nâng cao chất lượng sinh hoạt tại 03 chi bộ trực thuộc (Chi bộ 1: Khối THPT &amp; BGH; Chi bộ 2: Khối THCS Tân Kiều; Chi bộ 3: Khối THCS Đốc Binh Kiều), gắn nội dung sinh hoạt Đảng với việc giải quyết các vấn đề chuyên môn nóng bỏng của từng cơ sở.</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Thực hiện nghiêm túc quy định về trách nhiệm nêu gương của cán bộ quản lý, đảng viên; lấy kết quả hoàn thành nhiệm vụ giáo dục làm thước đo đánh giá xếp loại cuối năm.</w:t>
      </w:r>
    </w:p>
    <w:p>
      <w:pPr>
        <w:spacing w:after="60" w:before="180"/>
        <w:jc w:val="left"/>
      </w:pPr>
      <w:r>
        <w:rPr>
          <w:rFonts w:ascii="Times New Roman" w:cs="Times New Roman" w:eastAsia="Times New Roman" w:hAnsi="Times New Roman"/>
          <w:b/>
          <w:bCs/>
          <w:color w:val="000000"/>
          <w:sz w:val="26"/>
          <w:szCs w:val="26"/>
        </w:rPr>
        <w:t xml:space="preserve">3. Lãnh đạo thực hiện thắng lợi nhiệm vụ chuyên môn và phát triển học sinh</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Bố trí, sắp xếp đội ngũ 102 giáo viên hợp lý theo chuyên môn, bảo đảm cân đối giữa các bộ môn và 3 điểm trường.</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Tăng cường thanh tra, kiểm tra nội bộ học đường theo hướng dẫn của Sở GDĐT Đồng Tháp; đổi mới sinh hoạt chuyên môn theo hình thức nghiên cứu bài học.</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Xây dựng kế hoạch phụ đạo học sinh có nguy cơ học lực yếu kém, kiên quyết kéo giảm tỷ lệ bỏ học dưới 0.4%; hỗ trợ tận tình 25 học sinh khuyết tật học hòa nhập.</w:t>
      </w:r>
    </w:p>
    <w:p>
      <w:pPr>
        <w:spacing w:after="60" w:before="180"/>
        <w:jc w:val="left"/>
      </w:pPr>
      <w:r>
        <w:rPr>
          <w:rFonts w:ascii="Times New Roman" w:cs="Times New Roman" w:eastAsia="Times New Roman" w:hAnsi="Times New Roman"/>
          <w:b/>
          <w:bCs/>
          <w:color w:val="000000"/>
          <w:sz w:val="26"/>
          <w:szCs w:val="26"/>
        </w:rPr>
        <w:t xml:space="preserve">4. Xây dựng cơ sở vật chất và tăng cường công tác đoàn thể</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Tranh thủ các nguồn lực đầu tư của tỉnh và huyện để kiên cố hóa, bổ sung phòng học bộ môn, máy vi tính và thiết bị thể dục thể thao tại 3 điểm trường.</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Phát huy tối đa vai trò của Công đoàn, Đoàn Thanh niên, Hội Khuyến học trong việc vận động học sinh, chăm lo học sinh có hoàn cảnh khó khăn.</w:t>
      </w:r>
    </w:p>
    <w:p>
      <w:pPr>
        <w:spacing w:after="120" w:before="240"/>
        <w:jc w:val="center"/>
      </w:pPr>
      <w:r>
        <w:rPr>
          <w:rFonts w:ascii="Times New Roman" w:cs="Times New Roman" w:eastAsia="Times New Roman" w:hAnsi="Times New Roman"/>
          <w:b/>
          <w:bCs/>
          <w:color w:val="000000"/>
          <w:sz w:val="28"/>
          <w:szCs w:val="28"/>
        </w:rPr>
        <w:t xml:space="preserve">IV. TỔ CHỨC THỰC HIỆN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Đảng ủy tổ chức hội nghị toàn Đảng bộ quán triệt Chương trình hành động toàn khóa đến 100% đảng viên, cán bộ, giáo viên, nhân viên.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Cấp ủy 03 chi bộ trực thuộc, Ban Giám hiệu và các đoàn thể căn cứ Chương trình này xây dựng kế hoạch cụ thể hóa phù hợp với đặc thù từng cơ sở.</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Giao đồng chí Bùi Kim Huỳnh (phụ trách kiểm tra giám sát) chủ trì, phối hợp với các Đảng ủy viên theo dõi, đôn đốc, định kỳ 6 tháng và hàng năm báo cáo Đảng ủy kết quả thực hiện.</w:t>
      </w:r>
    </w:p>
    <w:tbl>
      <w:tblPr>
        <w:tblW w:type="dxa" w:w="9469"/>
        <w:tblBorders>
          <w:top w:val="none" w:color="auto" w:sz="0"/>
          <w:left w:val="none" w:color="auto" w:sz="0"/>
          <w:bottom w:val="none" w:color="auto" w:sz="0"/>
          <w:right w:val="none" w:color="auto" w:sz="0"/>
          <w:insideH w:val="none" w:color="auto" w:sz="0"/>
          <w:insideV w:val="none" w:color="auto" w:sz="0"/>
        </w:tblBorders>
      </w:tblPr>
      <w:tblGrid>
        <w:gridCol w:w="4500"/>
        <w:gridCol w:w="4969"/>
      </w:tblGrid>
      <w:tr>
        <w:tc>
          <w:tcPr>
            <w:tcW w:type="dxa" w:w="4500"/>
            <w:tcBorders>
              <w:top w:val="none" w:color="auto" w:sz="0"/>
              <w:left w:val="none" w:color="auto" w:sz="0"/>
              <w:bottom w:val="none" w:color="auto" w:sz="0"/>
              <w:right w:val="none" w:color="auto" w:sz="0"/>
            </w:tcBorders>
          </w:tcPr>
          <w:p>
            <w:pPr>
              <w:spacing w:after="40" w:before="120"/>
            </w:pPr>
            <w:r>
              <w:rPr>
                <w:rFonts w:ascii="Times New Roman" w:cs="Times New Roman" w:eastAsia="Times New Roman" w:hAnsi="Times New Roman"/>
                <w:b/>
                <w:bCs/>
                <w:i/>
                <w:iCs/>
                <w:sz w:val="22"/>
                <w:szCs w:val="22"/>
              </w:rPr>
              <w:t xml:space="preserve">Nơi nhận:</w:t>
            </w:r>
          </w:p>
          <w:p>
            <w:pPr>
              <w:spacing w:after="20" w:line="240"/>
            </w:pPr>
            <w:r>
              <w:rPr>
                <w:rFonts w:ascii="Times New Roman" w:cs="Times New Roman" w:eastAsia="Times New Roman" w:hAnsi="Times New Roman"/>
                <w:sz w:val="20"/>
                <w:szCs w:val="20"/>
              </w:rPr>
              <w:t xml:space="preserve">- Ban Thường vụ Huyện ủy Tháp Mười (b/c);</w:t>
            </w:r>
          </w:p>
          <w:p>
            <w:pPr>
              <w:spacing w:after="20" w:line="240"/>
            </w:pPr>
            <w:r>
              <w:rPr>
                <w:rFonts w:ascii="Times New Roman" w:cs="Times New Roman" w:eastAsia="Times New Roman" w:hAnsi="Times New Roman"/>
                <w:sz w:val="20"/>
                <w:szCs w:val="20"/>
              </w:rPr>
              <w:t xml:space="preserve">- Sở GDĐT Đồng Tháp (b/c);</w:t>
            </w:r>
          </w:p>
          <w:p>
            <w:pPr>
              <w:spacing w:after="20" w:line="240"/>
            </w:pPr>
            <w:r>
              <w:rPr>
                <w:rFonts w:ascii="Times New Roman" w:cs="Times New Roman" w:eastAsia="Times New Roman" w:hAnsi="Times New Roman"/>
                <w:sz w:val="20"/>
                <w:szCs w:val="20"/>
              </w:rPr>
              <w:t xml:space="preserve">- 03 Chi bộ trực thuộc (t/h);</w:t>
            </w:r>
          </w:p>
          <w:p>
            <w:pPr>
              <w:spacing w:after="20" w:line="240"/>
            </w:pPr>
            <w:r>
              <w:rPr>
                <w:rFonts w:ascii="Times New Roman" w:cs="Times New Roman" w:eastAsia="Times New Roman" w:hAnsi="Times New Roman"/>
                <w:sz w:val="20"/>
                <w:szCs w:val="20"/>
              </w:rPr>
              <w:t xml:space="preserve">- Ban Giám hiệu nhà trường (t/h);</w:t>
            </w:r>
          </w:p>
          <w:p>
            <w:pPr>
              <w:spacing w:after="20" w:line="240"/>
            </w:pPr>
            <w:r>
              <w:rPr>
                <w:rFonts w:ascii="Times New Roman" w:cs="Times New Roman" w:eastAsia="Times New Roman" w:hAnsi="Times New Roman"/>
                <w:sz w:val="20"/>
                <w:szCs w:val="20"/>
              </w:rPr>
              <w:t xml:space="preserve">- Công đoàn, Đoàn trường (p/h);</w:t>
            </w:r>
          </w:p>
          <w:p>
            <w:pPr>
              <w:spacing w:after="20" w:line="240"/>
            </w:pPr>
            <w:r>
              <w:rPr>
                <w:rFonts w:ascii="Times New Roman" w:cs="Times New Roman" w:eastAsia="Times New Roman" w:hAnsi="Times New Roman"/>
                <w:sz w:val="20"/>
                <w:szCs w:val="20"/>
              </w:rPr>
              <w:t xml:space="preserve">- Các đồng chí Đảng ủy viên;</w:t>
            </w:r>
          </w:p>
          <w:p>
            <w:pPr>
              <w:spacing w:after="20" w:line="240"/>
            </w:pPr>
            <w:r>
              <w:rPr>
                <w:rFonts w:ascii="Times New Roman" w:cs="Times New Roman" w:eastAsia="Times New Roman" w:hAnsi="Times New Roman"/>
                <w:sz w:val="20"/>
                <w:szCs w:val="20"/>
              </w:rPr>
              <w:t xml:space="preserve">- Lưu: Đảng ủy.</w:t>
            </w:r>
          </w:p>
        </w:tc>
        <w:tc>
          <w:tcPr>
            <w:tcW w:type="dxa" w:w="4969"/>
            <w:tcBorders>
              <w:top w:val="none" w:color="auto" w:sz="0"/>
              <w:left w:val="none" w:color="auto" w:sz="0"/>
              <w:bottom w:val="none" w:color="auto" w:sz="0"/>
              <w:right w:val="none" w:color="auto" w:sz="0"/>
            </w:tcBorders>
          </w:tcPr>
          <w:p>
            <w:pPr>
              <w:spacing w:after="20" w:before="120"/>
              <w:jc w:val="center"/>
            </w:pPr>
            <w:r>
              <w:rPr>
                <w:rFonts w:ascii="Times New Roman" w:cs="Times New Roman" w:eastAsia="Times New Roman" w:hAnsi="Times New Roman"/>
                <w:b/>
                <w:bCs/>
                <w:sz w:val="24"/>
                <w:szCs w:val="24"/>
              </w:rPr>
              <w:t xml:space="preserve">T/M ĐẢNG UỶ</w:t>
            </w:r>
          </w:p>
          <w:p>
            <w:pPr>
              <w:spacing w:after="600"/>
              <w:jc w:val="center"/>
            </w:pPr>
            <w:r>
              <w:rPr>
                <w:rFonts w:ascii="Times New Roman" w:cs="Times New Roman" w:eastAsia="Times New Roman" w:hAnsi="Times New Roman"/>
                <w:b/>
                <w:bCs/>
                <w:sz w:val="24"/>
                <w:szCs w:val="24"/>
              </w:rPr>
              <w:t xml:space="preserve">BÍ THƯ</w:t>
            </w:r>
          </w:p>
          <w:p>
            <w:pPr>
              <w:spacing w:before="800"/>
              <w:jc w:val="center"/>
            </w:pPr>
            <w:r>
              <w:rPr>
                <w:rFonts w:ascii="Times New Roman" w:cs="Times New Roman" w:eastAsia="Times New Roman" w:hAnsi="Times New Roman"/>
                <w:b/>
                <w:bCs/>
                <w:sz w:val="24"/>
                <w:szCs w:val="24"/>
              </w:rPr>
              <w:t xml:space="preserve">Lê Thanh Cường</w:t>
            </w:r>
          </w:p>
        </w:tc>
      </w:tr>
    </w:tbl>
    <w:sectPr>
      <w:headerReference w:type="default" r:id="rId6"/>
      <w:footerReference w:type="default" r:id="rId7"/>
      <w:pgSz w:w="11906" w:h="16838" w:orient="portrait"/>
      <w:pgMar w:top="1134" w:right="1020" w:bottom="1134"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NUMPAGES</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Đảng ủy Trường THCS và THPT Đốc Binh Kiều - Chương trình hành động toàn khóa (2025 - 2030)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60" w:before="6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2026-10-22T05:16:53.309Z</dcterms:created>
  <dcterms:modified xsi:type="dcterms:W3CDTF">2026-10-22T05:16:53.309Z</dcterms:modified>
</cp:coreProperties>
</file>

<file path=docProps/custom.xml><?xml version="1.0" encoding="utf-8"?>
<Properties xmlns="http://schemas.openxmlformats.org/officeDocument/2006/custom-properties" xmlns:vt="http://schemas.openxmlformats.org/officeDocument/2006/docPropsVTypes"/>
</file>