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54E10" w14:textId="77777777" w:rsidR="00A56E04" w:rsidRDefault="00A56E04">
      <w:pPr>
        <w:rPr>
          <w:rFonts w:eastAsiaTheme="minorEastAsia"/>
        </w:rPr>
      </w:pPr>
    </w:p>
    <w:p w14:paraId="1C6D1BF7" w14:textId="61B52BFA" w:rsidR="00A56E04" w:rsidRDefault="00A56E04" w:rsidP="00A56E04">
      <w:pPr>
        <w:pStyle w:val="NormalWeb"/>
        <w:spacing w:before="0" w:beforeAutospacing="0" w:after="0" w:afterAutospacing="0"/>
      </w:pPr>
      <w:r>
        <w:rPr>
          <w:rFonts w:eastAsiaTheme="minorEastAsia"/>
        </w:rPr>
        <w:t>1</w:t>
      </w:r>
      <w:proofErr w:type="gramStart"/>
      <w:r>
        <w:rPr>
          <w:rFonts w:eastAsiaTheme="minorEastAsia"/>
        </w:rPr>
        <w:t xml:space="preserve">a)   </w:t>
      </w:r>
      <w:proofErr w:type="gramEnd"/>
      <w:r>
        <w:rPr>
          <w:rFonts w:eastAsiaTheme="minorEastAsia"/>
        </w:rPr>
        <w:t xml:space="preserve">     </w:t>
      </w:r>
      <w:r>
        <w:rPr>
          <w:rFonts w:ascii="Arial" w:hAnsi="Arial" w:cs="Arial"/>
          <w:color w:val="000000"/>
          <w:sz w:val="22"/>
          <w:szCs w:val="22"/>
        </w:rPr>
        <w:t>This model treats Bitcoin as being comparable to commodities such as gold, silver or platinum. These are known as 'store of value' commodities because they retain value over long time frames due to their relative scarcity. It is difficult to significantly increase their supply i.e. the process of searching for gold and then mining it is expensive and takes time. Bitcoin is similar because it is also scarce. In fact, it is the first-ever scarce digital object to exist. There are a limited number of coins in existence and it will take a lot of electricity and computing effort to mine the 3 million outstanding coins still to be mined, therefore the supply rate is consistently low.</w:t>
      </w:r>
    </w:p>
    <w:p w14:paraId="20D6871C" w14:textId="77777777" w:rsidR="00A56E04" w:rsidRDefault="00A56E04" w:rsidP="00A56E04">
      <w:pPr>
        <w:pStyle w:val="NormalWeb"/>
        <w:spacing w:before="0" w:beforeAutospacing="0" w:after="0" w:afterAutospacing="0"/>
      </w:pPr>
      <w:r>
        <w:rPr>
          <w:rFonts w:ascii="Arial" w:hAnsi="Arial" w:cs="Arial"/>
          <w:color w:val="000000"/>
          <w:sz w:val="22"/>
          <w:szCs w:val="22"/>
        </w:rPr>
        <w:t>Stock-to-flow ratios are used to evaluate the current stock of a commodity (total amount currently available) against the flow of new production (amount mined that specific year).</w:t>
      </w:r>
    </w:p>
    <w:p w14:paraId="6109EF5F" w14:textId="77777777" w:rsidR="00A56E04" w:rsidRDefault="00A56E04" w:rsidP="00A56E04">
      <w:pPr>
        <w:pStyle w:val="NormalWeb"/>
        <w:spacing w:before="0" w:beforeAutospacing="0" w:after="0" w:afterAutospacing="0"/>
      </w:pPr>
      <w:r>
        <w:rPr>
          <w:rFonts w:ascii="Arial" w:hAnsi="Arial" w:cs="Arial"/>
          <w:color w:val="000000"/>
          <w:sz w:val="22"/>
          <w:szCs w:val="22"/>
        </w:rPr>
        <w:t>For store of value (</w:t>
      </w:r>
      <w:proofErr w:type="spellStart"/>
      <w:r>
        <w:rPr>
          <w:rFonts w:ascii="Arial" w:hAnsi="Arial" w:cs="Arial"/>
          <w:color w:val="000000"/>
          <w:sz w:val="22"/>
          <w:szCs w:val="22"/>
        </w:rPr>
        <w:t>SoV</w:t>
      </w:r>
      <w:proofErr w:type="spellEnd"/>
      <w:r>
        <w:rPr>
          <w:rFonts w:ascii="Arial" w:hAnsi="Arial" w:cs="Arial"/>
          <w:color w:val="000000"/>
          <w:sz w:val="22"/>
          <w:szCs w:val="22"/>
        </w:rPr>
        <w:t>) commodities like gold, platinum, or silver, a high ratio indicates that they are mostly not consumed in industrial applications. Instead, the majority is stored as a monetary hedge, thus driving up the stock-to-flow ratio.</w:t>
      </w:r>
    </w:p>
    <w:p w14:paraId="5531042D" w14:textId="77777777" w:rsidR="00A56E04" w:rsidRDefault="00A56E04" w:rsidP="00A56E04">
      <w:pPr>
        <w:pStyle w:val="NormalWeb"/>
        <w:spacing w:before="0" w:beforeAutospacing="0" w:after="0" w:afterAutospacing="0"/>
      </w:pPr>
      <w:r>
        <w:rPr>
          <w:rFonts w:ascii="Arial" w:hAnsi="Arial" w:cs="Arial"/>
          <w:color w:val="000000"/>
          <w:sz w:val="22"/>
          <w:szCs w:val="22"/>
        </w:rPr>
        <w:t>A higher ratio indicates that the commodity is increasingly scarce - and therefore more valuable as a store of value.</w:t>
      </w:r>
    </w:p>
    <w:p w14:paraId="7E6D4508" w14:textId="547A0511" w:rsidR="00A56E04" w:rsidRDefault="00A56E04">
      <w:pPr>
        <w:rPr>
          <w:rFonts w:eastAsiaTheme="minorEastAsia"/>
        </w:rPr>
      </w:pPr>
    </w:p>
    <w:p w14:paraId="763CCFD8" w14:textId="77777777" w:rsidR="00A56E04" w:rsidRDefault="00A56E04">
      <w:pPr>
        <w:rPr>
          <w:rFonts w:eastAsiaTheme="minorEastAsia"/>
        </w:rPr>
      </w:pPr>
    </w:p>
    <w:p w14:paraId="6757C0A0" w14:textId="0BD26288" w:rsidR="00D65775" w:rsidRDefault="00D65775">
      <w:pPr>
        <w:rPr>
          <w:rFonts w:eastAsiaTheme="minorEastAsia"/>
        </w:rPr>
      </w:pPr>
      <w:r>
        <w:rPr>
          <w:rFonts w:eastAsiaTheme="minorEastAsia"/>
        </w:rPr>
        <w:t>1b)</w:t>
      </w:r>
    </w:p>
    <w:p w14:paraId="212D3B7C" w14:textId="77777777" w:rsidR="00D65775" w:rsidRDefault="00D65775">
      <w:pPr>
        <w:rPr>
          <w:rFonts w:eastAsiaTheme="minorEastAsia"/>
        </w:rPr>
      </w:pPr>
    </w:p>
    <w:p w14:paraId="6D7F3998" w14:textId="2C85B994" w:rsidR="004A2395" w:rsidRPr="000B2D87" w:rsidRDefault="000B2D87">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t</m:t>
                              </m:r>
                            </m:sub>
                          </m:sSub>
                        </m:num>
                        <m:den>
                          <m:r>
                            <w:rPr>
                              <w:rFonts w:ascii="Cambria Math" w:hAnsi="Cambria Math"/>
                            </w:rPr>
                            <m:t>K</m:t>
                          </m:r>
                        </m:den>
                      </m:f>
                    </m:e>
                  </m:d>
                </m:e>
              </m:func>
              <m:r>
                <w:rPr>
                  <w:rFonts w:ascii="Cambria Math" w:hAnsi="Cambria Math"/>
                </w:rPr>
                <m:t>+</m:t>
              </m:r>
              <m:d>
                <m:dPr>
                  <m:ctrlPr>
                    <w:rPr>
                      <w:rFonts w:ascii="Cambria Math" w:hAnsi="Cambria Math"/>
                      <w:i/>
                    </w:rPr>
                  </m:ctrlPr>
                </m:dPr>
                <m:e>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r>
                <w:rPr>
                  <w:rFonts w:ascii="Cambria Math" w:hAnsi="Cambria Math"/>
                </w:rPr>
                <m:t>t</m:t>
              </m:r>
            </m:num>
            <m:den>
              <m:r>
                <w:rPr>
                  <w:rFonts w:ascii="Cambria Math" w:hAnsi="Cambria Math"/>
                </w:rPr>
                <m:t>σ√t</m:t>
              </m:r>
            </m:den>
          </m:f>
        </m:oMath>
      </m:oMathPara>
    </w:p>
    <w:p w14:paraId="0E00335A" w14:textId="6A197F99" w:rsidR="000B2D87" w:rsidRPr="00C51E22" w:rsidRDefault="00C51E22" w:rsidP="00C51E22">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r>
            <w:rPr>
              <w:rFonts w:ascii="Cambria Math" w:hAnsi="Cambria Math"/>
            </w:rPr>
            <m:t>σ√t</m:t>
          </m:r>
        </m:oMath>
      </m:oMathPara>
    </w:p>
    <w:p w14:paraId="6F4107A4" w14:textId="44E6D996" w:rsidR="00C51E22" w:rsidRPr="00C51E22" w:rsidRDefault="00C51E22" w:rsidP="00C51E2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=40,  K=45,  t= </m:t>
          </m:r>
          <m:f>
            <m:fPr>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r=0.03,   </m:t>
          </m:r>
          <m:r>
            <w:rPr>
              <w:rFonts w:ascii="Cambria Math" w:hAnsi="Cambria Math"/>
            </w:rPr>
            <m:t>σ</m:t>
          </m:r>
          <m:r>
            <w:rPr>
              <w:rFonts w:ascii="Cambria Math" w:hAnsi="Cambria Math"/>
            </w:rPr>
            <m:t xml:space="preserve">=0.4 </m:t>
          </m:r>
        </m:oMath>
      </m:oMathPara>
    </w:p>
    <w:p w14:paraId="5732D46C" w14:textId="01EDF7B9" w:rsidR="006C127D" w:rsidRPr="006C127D" w:rsidRDefault="006C127D" w:rsidP="006C127D">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40</m:t>
                          </m:r>
                        </m:num>
                        <m:den>
                          <m:r>
                            <w:rPr>
                              <w:rFonts w:ascii="Cambria Math" w:hAnsi="Cambria Math"/>
                            </w:rPr>
                            <m:t>45</m:t>
                          </m:r>
                        </m:den>
                      </m:f>
                    </m:e>
                  </m:d>
                </m:e>
              </m:func>
              <m:r>
                <w:rPr>
                  <w:rFonts w:ascii="Cambria Math" w:hAnsi="Cambria Math"/>
                </w:rPr>
                <m:t>+</m:t>
              </m:r>
              <m:d>
                <m:dPr>
                  <m:ctrlPr>
                    <w:rPr>
                      <w:rFonts w:ascii="Cambria Math" w:hAnsi="Cambria Math"/>
                      <w:i/>
                    </w:rPr>
                  </m:ctrlPr>
                </m:dPr>
                <m:e>
                  <m:r>
                    <w:rPr>
                      <w:rFonts w:ascii="Cambria Math" w:hAnsi="Cambria Math"/>
                    </w:rPr>
                    <m:t>0.03</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0.4</m:t>
                          </m:r>
                        </m:e>
                        <m:sup>
                          <m:r>
                            <w:rPr>
                              <w:rFonts w:ascii="Cambria Math" w:hAnsi="Cambria Math"/>
                            </w:rPr>
                            <m:t>2</m:t>
                          </m:r>
                        </m:sup>
                      </m:sSup>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3</m:t>
                  </m:r>
                </m:den>
              </m:f>
            </m:num>
            <m:den>
              <m:r>
                <w:rPr>
                  <w:rFonts w:ascii="Cambria Math" w:hAnsi="Cambria Math"/>
                </w:rPr>
                <m:t>0.4</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en>
          </m:f>
        </m:oMath>
      </m:oMathPara>
    </w:p>
    <w:p w14:paraId="214519D3" w14:textId="7983511C" w:rsidR="006C127D" w:rsidRPr="006C127D" w:rsidRDefault="006C127D" w:rsidP="006C12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-0.351244</m:t>
          </m:r>
        </m:oMath>
      </m:oMathPara>
    </w:p>
    <w:p w14:paraId="3DCB8766" w14:textId="4DABCEEA" w:rsidR="006C127D" w:rsidRPr="001B73C6" w:rsidRDefault="001B73C6" w:rsidP="006C12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r>
            <w:rPr>
              <w:rFonts w:ascii="Cambria Math" w:hAnsi="Cambria Math"/>
            </w:rPr>
            <m:t>σ√t</m:t>
          </m:r>
        </m:oMath>
      </m:oMathPara>
    </w:p>
    <w:p w14:paraId="532DD839" w14:textId="178E5FE1" w:rsidR="001B73C6" w:rsidRPr="001B73C6" w:rsidRDefault="001B73C6" w:rsidP="006C127D">
      <w:pPr>
        <w:rPr>
          <w:rFonts w:eastAsiaTheme="minorEastAsia"/>
        </w:rPr>
      </w:pPr>
      <m:oMathPara>
        <m:oMath>
          <m:r>
            <w:rPr>
              <w:rFonts w:ascii="Cambria Math" w:eastAsiaTheme="minorEastAsia" w:hAnsi="Cambria Math"/>
            </w:rPr>
            <m:t xml:space="preserve">= -0.351244- </m:t>
          </m:r>
          <m:r>
            <w:rPr>
              <w:rFonts w:ascii="Cambria Math" w:hAnsi="Cambria Math"/>
            </w:rPr>
            <m:t>0.4√</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C0103DE" w14:textId="7F458330" w:rsidR="001B73C6" w:rsidRPr="001B73C6" w:rsidRDefault="001B73C6" w:rsidP="006C127D">
      <w:pPr>
        <w:rPr>
          <w:rFonts w:eastAsiaTheme="minorEastAsia"/>
        </w:rPr>
      </w:pPr>
      <m:oMathPara>
        <m:oMath>
          <m:r>
            <w:rPr>
              <w:rFonts w:ascii="Cambria Math" w:eastAsiaTheme="minorEastAsia" w:hAnsi="Cambria Math"/>
            </w:rPr>
            <m:t>= -0.582184</m:t>
          </m:r>
        </m:oMath>
      </m:oMathPara>
    </w:p>
    <w:p w14:paraId="28C6D2C2" w14:textId="0BFF015F" w:rsidR="001B73C6" w:rsidRPr="001B73C6" w:rsidRDefault="001B73C6" w:rsidP="006C12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ub>
          </m:sSub>
          <m:r>
            <w:rPr>
              <w:rFonts w:ascii="Cambria Math" w:eastAsiaTheme="minorEastAsia" w:hAnsi="Cambria Math"/>
            </w:rPr>
            <m:t>=0.3627</m:t>
          </m:r>
        </m:oMath>
      </m:oMathPara>
    </w:p>
    <w:p w14:paraId="50E44EA3" w14:textId="378A7AC7" w:rsidR="001B73C6" w:rsidRPr="001B73C6" w:rsidRDefault="001B73C6" w:rsidP="006C127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ub>
          </m:sSub>
          <m:r>
            <w:rPr>
              <w:rFonts w:ascii="Cambria Math" w:eastAsiaTheme="minorEastAsia" w:hAnsi="Cambria Math"/>
            </w:rPr>
            <m:t>=0.28022</m:t>
          </m:r>
        </m:oMath>
      </m:oMathPara>
    </w:p>
    <w:p w14:paraId="67362090" w14:textId="56950673" w:rsidR="00C51E22" w:rsidRDefault="00C51E22" w:rsidP="00C51E22"/>
    <w:p w14:paraId="49EC50FC" w14:textId="32B17CDB" w:rsidR="001B73C6" w:rsidRPr="001B73C6" w:rsidRDefault="001B73C6" w:rsidP="001B73C6">
      <w:pPr>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Ke</m:t>
              </m:r>
            </m:e>
            <m:sup>
              <m:r>
                <w:rPr>
                  <w:rFonts w:ascii="Cambria Math" w:hAnsi="Cambria Math"/>
                </w:rPr>
                <m:t>-rt</m:t>
              </m:r>
            </m:sup>
          </m:sSup>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oMath>
      </m:oMathPara>
    </w:p>
    <w:p w14:paraId="5E0FBA18" w14:textId="250050F9" w:rsidR="001B73C6" w:rsidRPr="00D65775" w:rsidRDefault="00D65775" w:rsidP="001B73C6">
      <w:pPr>
        <w:rPr>
          <w:rFonts w:eastAsiaTheme="minorEastAsia"/>
        </w:rPr>
      </w:pPr>
      <m:oMathPara>
        <m:oMath>
          <m:r>
            <w:rPr>
              <w:rFonts w:ascii="Cambria Math" w:eastAsiaTheme="minorEastAsia" w:hAnsi="Cambria Math"/>
            </w:rPr>
            <w:lastRenderedPageBreak/>
            <m:t xml:space="preserve">= </m:t>
          </m:r>
          <m:d>
            <m:dPr>
              <m:ctrlPr>
                <w:rPr>
                  <w:rFonts w:ascii="Cambria Math" w:eastAsiaTheme="minorEastAsia" w:hAnsi="Cambria Math"/>
                  <w:i/>
                </w:rPr>
              </m:ctrlPr>
            </m:dPr>
            <m:e>
              <m:r>
                <w:rPr>
                  <w:rFonts w:ascii="Cambria Math" w:eastAsiaTheme="minorEastAsia" w:hAnsi="Cambria Math"/>
                </w:rPr>
                <m:t>40*0.3627</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 xml:space="preserve">-0.03*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sup>
              </m:sSup>
              <m:r>
                <w:rPr>
                  <w:rFonts w:ascii="Cambria Math" w:eastAsiaTheme="minorEastAsia" w:hAnsi="Cambria Math"/>
                </w:rPr>
                <m:t>*0.28022</m:t>
              </m:r>
            </m:e>
          </m:d>
        </m:oMath>
      </m:oMathPara>
    </w:p>
    <w:p w14:paraId="1FE7B14F" w14:textId="1A81EFA7" w:rsidR="00D65775" w:rsidRPr="00D65775" w:rsidRDefault="00D65775" w:rsidP="001B73C6">
      <w:pPr>
        <w:rPr>
          <w:rFonts w:eastAsiaTheme="minorEastAsia"/>
        </w:rPr>
      </w:pPr>
      <m:oMathPara>
        <m:oMath>
          <m:r>
            <w:rPr>
              <w:rFonts w:ascii="Cambria Math" w:eastAsiaTheme="minorEastAsia" w:hAnsi="Cambria Math"/>
            </w:rPr>
            <m:t>= 14.508-12484</m:t>
          </m:r>
        </m:oMath>
      </m:oMathPara>
    </w:p>
    <w:p w14:paraId="144402C2" w14:textId="79F941C9" w:rsidR="00D65775" w:rsidRPr="00D65775" w:rsidRDefault="00D65775" w:rsidP="001B73C6">
      <w:pPr>
        <w:rPr>
          <w:rFonts w:eastAsiaTheme="minorEastAsia"/>
        </w:rPr>
      </w:pPr>
      <m:oMathPara>
        <m:oMath>
          <m:r>
            <w:rPr>
              <w:rFonts w:ascii="Cambria Math" w:eastAsiaTheme="minorEastAsia" w:hAnsi="Cambria Math"/>
            </w:rPr>
            <m:t>=2.02</m:t>
          </m:r>
        </m:oMath>
      </m:oMathPara>
    </w:p>
    <w:p w14:paraId="2E2541AB" w14:textId="3B52F4BB" w:rsidR="001B73C6" w:rsidRPr="00D65775" w:rsidRDefault="00D65775" w:rsidP="00C51E22">
      <w:pPr>
        <w:rPr>
          <w:sz w:val="36"/>
          <w:szCs w:val="36"/>
        </w:rPr>
      </w:pPr>
      <w:r>
        <w:rPr>
          <w:sz w:val="36"/>
          <w:szCs w:val="36"/>
        </w:rPr>
        <w:t xml:space="preserve">                                </w:t>
      </w:r>
      <w:r w:rsidRPr="00D65775">
        <w:rPr>
          <w:sz w:val="36"/>
          <w:szCs w:val="36"/>
        </w:rPr>
        <w:t>Black Scholes call price = 2.02</w:t>
      </w:r>
    </w:p>
    <w:sectPr w:rsidR="001B73C6" w:rsidRPr="00D6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95"/>
    <w:rsid w:val="000B2D87"/>
    <w:rsid w:val="001B73C6"/>
    <w:rsid w:val="004A2395"/>
    <w:rsid w:val="0058388A"/>
    <w:rsid w:val="006C127D"/>
    <w:rsid w:val="00A56E04"/>
    <w:rsid w:val="00C31E14"/>
    <w:rsid w:val="00C45B25"/>
    <w:rsid w:val="00C51E22"/>
    <w:rsid w:val="00D65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F867"/>
  <w15:chartTrackingRefBased/>
  <w15:docId w15:val="{D3D24964-E151-4F13-A2F3-EDFE7A73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2395"/>
    <w:rPr>
      <w:color w:val="808080"/>
    </w:rPr>
  </w:style>
  <w:style w:type="paragraph" w:styleId="NormalWeb">
    <w:name w:val="Normal (Web)"/>
    <w:basedOn w:val="Normal"/>
    <w:uiPriority w:val="99"/>
    <w:semiHidden/>
    <w:unhideWhenUsed/>
    <w:rsid w:val="00A56E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2020-09-28T13:39:00Z</dcterms:created>
  <dcterms:modified xsi:type="dcterms:W3CDTF">2020-09-28T16:32:00Z</dcterms:modified>
</cp:coreProperties>
</file>