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1D91" w14:textId="31335DA8" w:rsidR="00717D5F" w:rsidRDefault="00717D5F" w:rsidP="005B06B2">
      <w:pPr>
        <w:rPr>
          <w:rFonts w:ascii="Times New Roman" w:hAnsi="Times New Roman" w:cs="Times New Roman"/>
          <w:sz w:val="20"/>
          <w:szCs w:val="21"/>
        </w:rPr>
      </w:pPr>
      <w:r w:rsidRPr="00EB11DE">
        <w:rPr>
          <w:rFonts w:ascii="Times New Roman" w:hAnsi="Times New Roman" w:cs="Times New Roman"/>
          <w:sz w:val="20"/>
          <w:szCs w:val="21"/>
        </w:rPr>
        <w:t>In the Independent Review of Administrative Law (March 2021) at §3.8, the Independent Panel raise</w:t>
      </w:r>
      <w:r>
        <w:rPr>
          <w:rFonts w:ascii="Times New Roman" w:hAnsi="Times New Roman" w:cs="Times New Roman" w:hint="eastAsia"/>
          <w:sz w:val="20"/>
          <w:szCs w:val="21"/>
        </w:rPr>
        <w:t>s</w:t>
      </w:r>
      <w:r w:rsidRPr="00EB11DE">
        <w:rPr>
          <w:rFonts w:ascii="Times New Roman" w:hAnsi="Times New Roman" w:cs="Times New Roman"/>
          <w:sz w:val="20"/>
          <w:szCs w:val="21"/>
        </w:rPr>
        <w:t xml:space="preserve"> the concern regarding the current state of law that the </w:t>
      </w:r>
      <w:proofErr w:type="gramStart"/>
      <w:r w:rsidRPr="00EB11DE">
        <w:rPr>
          <w:rFonts w:ascii="Times New Roman" w:hAnsi="Times New Roman" w:cs="Times New Roman"/>
          <w:sz w:val="20"/>
          <w:szCs w:val="21"/>
        </w:rPr>
        <w:t>grounds</w:t>
      </w:r>
      <w:proofErr w:type="gramEnd"/>
      <w:r w:rsidRPr="00EB11DE">
        <w:rPr>
          <w:rFonts w:ascii="Times New Roman" w:hAnsi="Times New Roman" w:cs="Times New Roman"/>
          <w:sz w:val="20"/>
          <w:szCs w:val="21"/>
        </w:rPr>
        <w:t xml:space="preserve"> of judicial review </w:t>
      </w:r>
      <w:proofErr w:type="gramStart"/>
      <w:r w:rsidRPr="00EB11DE">
        <w:rPr>
          <w:rFonts w:ascii="Times New Roman" w:hAnsi="Times New Roman" w:cs="Times New Roman"/>
          <w:sz w:val="20"/>
          <w:szCs w:val="21"/>
        </w:rPr>
        <w:t>makes</w:t>
      </w:r>
      <w:proofErr w:type="gramEnd"/>
      <w:r w:rsidRPr="00EB11DE">
        <w:rPr>
          <w:rFonts w:ascii="Times New Roman" w:hAnsi="Times New Roman" w:cs="Times New Roman"/>
          <w:sz w:val="20"/>
          <w:szCs w:val="21"/>
        </w:rPr>
        <w:t xml:space="preserve"> it difficult for a public body to</w:t>
      </w:r>
      <w:r>
        <w:rPr>
          <w:rFonts w:ascii="Times New Roman" w:hAnsi="Times New Roman" w:cs="Times New Roman" w:hint="eastAsia"/>
          <w:sz w:val="20"/>
          <w:szCs w:val="21"/>
        </w:rPr>
        <w:t xml:space="preserve"> predict</w:t>
      </w:r>
      <w:r w:rsidRPr="00EB11DE">
        <w:rPr>
          <w:rFonts w:ascii="Times New Roman" w:hAnsi="Times New Roman" w:cs="Times New Roman"/>
          <w:sz w:val="20"/>
          <w:szCs w:val="21"/>
        </w:rPr>
        <w:t xml:space="preserve"> whether or not a proposed course of action will end up being successfully legally challenged. I agree with the proposed statement, especially taking into account the ambiguity of two specific grounds, legitimate expectation and </w:t>
      </w:r>
      <w:r>
        <w:rPr>
          <w:rFonts w:ascii="Times New Roman" w:hAnsi="Times New Roman" w:cs="Times New Roman" w:hint="eastAsia"/>
          <w:sz w:val="20"/>
          <w:szCs w:val="21"/>
        </w:rPr>
        <w:t>anxious scrutiny</w:t>
      </w:r>
      <w:r w:rsidRPr="00EB11DE">
        <w:rPr>
          <w:rFonts w:ascii="Times New Roman" w:hAnsi="Times New Roman" w:cs="Times New Roman"/>
          <w:sz w:val="20"/>
          <w:szCs w:val="21"/>
        </w:rPr>
        <w:t xml:space="preserve">. </w:t>
      </w:r>
    </w:p>
    <w:p w14:paraId="09A674CE" w14:textId="520AE51E" w:rsidR="00717D5F" w:rsidRPr="00717D5F" w:rsidRDefault="00717D5F" w:rsidP="005B06B2">
      <w:pPr>
        <w:rPr>
          <w:rFonts w:ascii="Times New Roman" w:hAnsi="Times New Roman" w:cs="Times New Roman" w:hint="eastAsia"/>
          <w:sz w:val="20"/>
          <w:szCs w:val="21"/>
        </w:rPr>
      </w:pPr>
      <w:r>
        <w:rPr>
          <w:rFonts w:ascii="Times New Roman" w:hAnsi="Times New Roman" w:cs="Times New Roman" w:hint="eastAsia"/>
          <w:sz w:val="20"/>
          <w:szCs w:val="21"/>
        </w:rPr>
        <w:t xml:space="preserve">The </w:t>
      </w:r>
      <w:r w:rsidRPr="00717D5F">
        <w:rPr>
          <w:rFonts w:ascii="Times New Roman" w:hAnsi="Times New Roman" w:cs="Times New Roman" w:hint="eastAsia"/>
          <w:sz w:val="20"/>
          <w:szCs w:val="21"/>
        </w:rPr>
        <w:t>tension between fairness and flexibility lies at the heart of contemporary administrative law debates. While legitimate expectation, born from Lord Denning</w:t>
      </w:r>
      <w:proofErr w:type="gramStart"/>
      <w:r w:rsidRPr="00717D5F">
        <w:rPr>
          <w:rFonts w:ascii="Times New Roman" w:hAnsi="Times New Roman" w:cs="Times New Roman" w:hint="eastAsia"/>
          <w:sz w:val="20"/>
          <w:szCs w:val="21"/>
        </w:rPr>
        <w:t>’</w:t>
      </w:r>
      <w:proofErr w:type="gramEnd"/>
      <w:r w:rsidRPr="00717D5F">
        <w:rPr>
          <w:rFonts w:ascii="Times New Roman" w:hAnsi="Times New Roman" w:cs="Times New Roman" w:hint="eastAsia"/>
          <w:sz w:val="20"/>
          <w:szCs w:val="21"/>
        </w:rPr>
        <w:t xml:space="preserve">s seminal judgment in </w:t>
      </w:r>
      <w:r w:rsidRPr="00717D5F">
        <w:rPr>
          <w:rFonts w:ascii="Times New Roman" w:hAnsi="Times New Roman" w:cs="Times New Roman" w:hint="eastAsia"/>
          <w:i/>
          <w:iCs/>
          <w:sz w:val="20"/>
          <w:szCs w:val="21"/>
        </w:rPr>
        <w:t>Schmidt v Secretary of State for Home Affairs</w:t>
      </w:r>
      <w:r w:rsidRPr="00EB11DE">
        <w:rPr>
          <w:rStyle w:val="af4"/>
          <w:rFonts w:ascii="Times New Roman" w:hAnsi="Times New Roman" w:cs="Times New Roman"/>
          <w:sz w:val="20"/>
          <w:szCs w:val="21"/>
        </w:rPr>
        <w:footnoteReference w:id="1"/>
      </w:r>
      <w:r w:rsidRPr="00717D5F">
        <w:rPr>
          <w:rFonts w:ascii="Times New Roman" w:hAnsi="Times New Roman" w:cs="Times New Roman" w:hint="eastAsia"/>
          <w:sz w:val="20"/>
          <w:szCs w:val="21"/>
        </w:rPr>
        <w:t xml:space="preserve">, evolved to enforce substantive </w:t>
      </w:r>
      <w:r w:rsidR="00E81341">
        <w:rPr>
          <w:rFonts w:ascii="Times New Roman" w:hAnsi="Times New Roman" w:cs="Times New Roman" w:hint="eastAsia"/>
          <w:sz w:val="20"/>
          <w:szCs w:val="21"/>
        </w:rPr>
        <w:t>representation</w:t>
      </w:r>
      <w:r w:rsidRPr="00717D5F">
        <w:rPr>
          <w:rFonts w:ascii="Times New Roman" w:hAnsi="Times New Roman" w:cs="Times New Roman" w:hint="eastAsia"/>
          <w:sz w:val="20"/>
          <w:szCs w:val="21"/>
        </w:rPr>
        <w:t xml:space="preserve"> by public bodies</w:t>
      </w:r>
      <w:r w:rsidR="00E81341">
        <w:rPr>
          <w:rFonts w:ascii="Times New Roman" w:hAnsi="Times New Roman" w:cs="Times New Roman" w:hint="eastAsia"/>
          <w:sz w:val="20"/>
          <w:szCs w:val="21"/>
        </w:rPr>
        <w:t xml:space="preserve">. </w:t>
      </w:r>
      <w:r w:rsidRPr="00717D5F">
        <w:rPr>
          <w:rFonts w:ascii="Times New Roman" w:hAnsi="Times New Roman" w:cs="Times New Roman" w:hint="eastAsia"/>
          <w:sz w:val="20"/>
          <w:szCs w:val="21"/>
        </w:rPr>
        <w:t xml:space="preserve">Similarly, the emergence of </w:t>
      </w:r>
      <w:r w:rsidRPr="00717D5F">
        <w:rPr>
          <w:rFonts w:ascii="Times New Roman" w:hAnsi="Times New Roman" w:cs="Times New Roman" w:hint="eastAsia"/>
          <w:sz w:val="20"/>
          <w:szCs w:val="21"/>
        </w:rPr>
        <w:t>“</w:t>
      </w:r>
      <w:r w:rsidRPr="00717D5F">
        <w:rPr>
          <w:rFonts w:ascii="Times New Roman" w:hAnsi="Times New Roman" w:cs="Times New Roman" w:hint="eastAsia"/>
          <w:sz w:val="20"/>
          <w:szCs w:val="21"/>
        </w:rPr>
        <w:t>anxious scrutiny</w:t>
      </w:r>
      <w:r w:rsidRPr="00717D5F">
        <w:rPr>
          <w:rFonts w:ascii="Times New Roman" w:hAnsi="Times New Roman" w:cs="Times New Roman" w:hint="eastAsia"/>
          <w:sz w:val="20"/>
          <w:szCs w:val="21"/>
        </w:rPr>
        <w:t>”</w:t>
      </w:r>
      <w:r w:rsidRPr="00717D5F">
        <w:rPr>
          <w:rFonts w:ascii="Times New Roman" w:hAnsi="Times New Roman" w:cs="Times New Roman" w:hint="eastAsia"/>
          <w:sz w:val="20"/>
          <w:szCs w:val="21"/>
        </w:rPr>
        <w:t xml:space="preserve"> as a heightened standard of review for decisions impacting fundamental rights has introduced uncertainty over when and how courts will intervene, particularly amid overlapping frameworks like proportionality and Wednesbury unreasonableness.</w:t>
      </w:r>
    </w:p>
    <w:p w14:paraId="2D4E444A" w14:textId="107345A9" w:rsidR="001A67D3" w:rsidRPr="001A67D3" w:rsidRDefault="001A67D3" w:rsidP="005B06B2">
      <w:pPr>
        <w:rPr>
          <w:rFonts w:ascii="Times New Roman" w:hAnsi="Times New Roman" w:cs="Times New Roman"/>
          <w:b/>
          <w:bCs/>
        </w:rPr>
      </w:pPr>
      <w:r w:rsidRPr="001A67D3">
        <w:rPr>
          <w:rFonts w:ascii="Times New Roman" w:hAnsi="Times New Roman" w:cs="Times New Roman"/>
          <w:b/>
          <w:bCs/>
        </w:rPr>
        <w:t xml:space="preserve">Legitimate </w:t>
      </w:r>
      <w:r w:rsidR="002D7D8A">
        <w:rPr>
          <w:rFonts w:ascii="Times New Roman" w:hAnsi="Times New Roman" w:cs="Times New Roman" w:hint="eastAsia"/>
          <w:b/>
          <w:bCs/>
        </w:rPr>
        <w:t>E</w:t>
      </w:r>
      <w:r w:rsidRPr="001A67D3">
        <w:rPr>
          <w:rFonts w:ascii="Times New Roman" w:hAnsi="Times New Roman" w:cs="Times New Roman"/>
          <w:b/>
          <w:bCs/>
        </w:rPr>
        <w:t>xpectation</w:t>
      </w:r>
    </w:p>
    <w:p w14:paraId="6C0D49B8" w14:textId="47A0051C" w:rsidR="003D235D" w:rsidRPr="00EB11DE" w:rsidRDefault="008834AD" w:rsidP="00D518F5">
      <w:pPr>
        <w:rPr>
          <w:rFonts w:ascii="Times New Roman" w:hAnsi="Times New Roman" w:cs="Times New Roman"/>
          <w:sz w:val="20"/>
          <w:szCs w:val="21"/>
        </w:rPr>
      </w:pPr>
      <w:r w:rsidRPr="00EB11DE">
        <w:rPr>
          <w:rFonts w:ascii="Times New Roman" w:hAnsi="Times New Roman" w:cs="Times New Roman"/>
          <w:sz w:val="20"/>
          <w:szCs w:val="21"/>
        </w:rPr>
        <w:t xml:space="preserve">Legitimate </w:t>
      </w:r>
      <w:proofErr w:type="gramStart"/>
      <w:r w:rsidRPr="00EB11DE">
        <w:rPr>
          <w:rFonts w:ascii="Times New Roman" w:hAnsi="Times New Roman" w:cs="Times New Roman"/>
          <w:sz w:val="20"/>
          <w:szCs w:val="21"/>
        </w:rPr>
        <w:t>expectation</w:t>
      </w:r>
      <w:r w:rsidR="00CC5C33">
        <w:rPr>
          <w:rFonts w:ascii="Times New Roman" w:hAnsi="Times New Roman" w:cs="Times New Roman" w:hint="eastAsia"/>
          <w:sz w:val="20"/>
          <w:szCs w:val="21"/>
        </w:rPr>
        <w:t>(</w:t>
      </w:r>
      <w:proofErr w:type="gramEnd"/>
      <w:r w:rsidR="00CC5C33">
        <w:rPr>
          <w:rFonts w:ascii="Times New Roman" w:hAnsi="Times New Roman" w:cs="Times New Roman" w:hint="eastAsia"/>
          <w:sz w:val="20"/>
          <w:szCs w:val="21"/>
        </w:rPr>
        <w:t>LE)</w:t>
      </w:r>
      <w:r w:rsidRPr="00EB11DE">
        <w:rPr>
          <w:rFonts w:ascii="Times New Roman" w:hAnsi="Times New Roman" w:cs="Times New Roman"/>
          <w:sz w:val="20"/>
          <w:szCs w:val="21"/>
        </w:rPr>
        <w:t xml:space="preserve"> as a ground of judicial </w:t>
      </w:r>
      <w:r w:rsidR="00E10BC2">
        <w:rPr>
          <w:rFonts w:ascii="Times New Roman" w:hAnsi="Times New Roman" w:cs="Times New Roman" w:hint="eastAsia"/>
          <w:sz w:val="20"/>
          <w:szCs w:val="21"/>
        </w:rPr>
        <w:t xml:space="preserve">review </w:t>
      </w:r>
      <w:r w:rsidRPr="00EB11DE">
        <w:rPr>
          <w:rFonts w:ascii="Times New Roman" w:hAnsi="Times New Roman" w:cs="Times New Roman"/>
          <w:sz w:val="20"/>
          <w:szCs w:val="21"/>
        </w:rPr>
        <w:t xml:space="preserve">first emerged in Lord Denning MR's decision in </w:t>
      </w:r>
      <w:r w:rsidRPr="00EB11DE">
        <w:rPr>
          <w:rFonts w:ascii="Times New Roman" w:hAnsi="Times New Roman" w:cs="Times New Roman"/>
          <w:i/>
          <w:iCs/>
          <w:sz w:val="20"/>
          <w:szCs w:val="21"/>
        </w:rPr>
        <w:t>Schmidt v Secretary of State for Home Affairs</w:t>
      </w:r>
      <w:bookmarkStart w:id="0" w:name="_Hlk195245827"/>
      <w:r w:rsidRPr="00EB11DE">
        <w:rPr>
          <w:rStyle w:val="af4"/>
          <w:rFonts w:ascii="Times New Roman" w:hAnsi="Times New Roman" w:cs="Times New Roman"/>
          <w:sz w:val="20"/>
          <w:szCs w:val="21"/>
        </w:rPr>
        <w:footnoteReference w:id="2"/>
      </w:r>
      <w:bookmarkEnd w:id="0"/>
      <w:r w:rsidR="00BF0BF0" w:rsidRPr="00EB11DE">
        <w:rPr>
          <w:rFonts w:ascii="Times New Roman" w:hAnsi="Times New Roman" w:cs="Times New Roman"/>
          <w:sz w:val="20"/>
          <w:szCs w:val="21"/>
        </w:rPr>
        <w:t xml:space="preserve"> where he held that an alien who had been granted temporary residence had a legitimate expectation of being heard before deportation. </w:t>
      </w:r>
      <w:r w:rsidRPr="00EB11DE">
        <w:rPr>
          <w:rFonts w:ascii="Times New Roman" w:hAnsi="Times New Roman" w:cs="Times New Roman"/>
          <w:sz w:val="20"/>
          <w:szCs w:val="21"/>
        </w:rPr>
        <w:t xml:space="preserve">It is worth noting that </w:t>
      </w:r>
      <w:r w:rsidR="00E10BC2">
        <w:rPr>
          <w:rFonts w:ascii="Times New Roman" w:hAnsi="Times New Roman" w:cs="Times New Roman" w:hint="eastAsia"/>
          <w:sz w:val="20"/>
          <w:szCs w:val="21"/>
        </w:rPr>
        <w:t xml:space="preserve">the </w:t>
      </w:r>
      <w:r w:rsidRPr="00EB11DE">
        <w:rPr>
          <w:rFonts w:ascii="Times New Roman" w:hAnsi="Times New Roman" w:cs="Times New Roman"/>
          <w:sz w:val="20"/>
          <w:szCs w:val="21"/>
        </w:rPr>
        <w:t xml:space="preserve">first legitimate expectation was developed </w:t>
      </w:r>
      <w:r w:rsidR="006D1CB7" w:rsidRPr="00EB11DE">
        <w:rPr>
          <w:rFonts w:ascii="Times New Roman" w:hAnsi="Times New Roman" w:cs="Times New Roman"/>
          <w:sz w:val="20"/>
          <w:szCs w:val="21"/>
        </w:rPr>
        <w:t xml:space="preserve">to ensure </w:t>
      </w:r>
      <w:proofErr w:type="gramStart"/>
      <w:r w:rsidR="006D1CB7" w:rsidRPr="00EB11DE">
        <w:rPr>
          <w:rFonts w:ascii="Times New Roman" w:hAnsi="Times New Roman" w:cs="Times New Roman"/>
          <w:sz w:val="20"/>
          <w:szCs w:val="21"/>
        </w:rPr>
        <w:t>fairness</w:t>
      </w:r>
      <w:proofErr w:type="gramEnd"/>
      <w:r w:rsidR="006D1CB7" w:rsidRPr="00EB11DE">
        <w:rPr>
          <w:rFonts w:ascii="Times New Roman" w:hAnsi="Times New Roman" w:cs="Times New Roman"/>
          <w:sz w:val="20"/>
          <w:szCs w:val="21"/>
        </w:rPr>
        <w:t xml:space="preserve"> which requires the procedures promised to be followed</w:t>
      </w:r>
      <w:r w:rsidR="00BF0BF0" w:rsidRPr="00EB11DE">
        <w:rPr>
          <w:rFonts w:ascii="Times New Roman" w:hAnsi="Times New Roman" w:cs="Times New Roman"/>
          <w:sz w:val="20"/>
          <w:szCs w:val="21"/>
        </w:rPr>
        <w:t xml:space="preserve">. This was later solidified in </w:t>
      </w:r>
      <w:r w:rsidR="00BF0BF0" w:rsidRPr="00EB11DE">
        <w:rPr>
          <w:rFonts w:ascii="Times New Roman" w:hAnsi="Times New Roman" w:cs="Times New Roman"/>
          <w:i/>
          <w:iCs/>
          <w:sz w:val="20"/>
          <w:szCs w:val="21"/>
        </w:rPr>
        <w:t>Attorney-General of Hong Kong v Ng Yuen Shiu</w:t>
      </w:r>
      <w:r w:rsidR="00BF0BF0" w:rsidRPr="00EB11DE">
        <w:rPr>
          <w:rStyle w:val="af4"/>
          <w:rFonts w:ascii="Times New Roman" w:hAnsi="Times New Roman" w:cs="Times New Roman"/>
          <w:sz w:val="20"/>
          <w:szCs w:val="21"/>
        </w:rPr>
        <w:footnoteReference w:id="3"/>
      </w:r>
      <w:r w:rsidR="00BF0BF0" w:rsidRPr="00EB11DE">
        <w:rPr>
          <w:rFonts w:ascii="Times New Roman" w:hAnsi="Times New Roman" w:cs="Times New Roman"/>
          <w:sz w:val="20"/>
          <w:szCs w:val="21"/>
        </w:rPr>
        <w:t xml:space="preserve">, where the Privy Council ruled that an assurance of a fair hearing before deportation created an enforceable procedural right. </w:t>
      </w:r>
    </w:p>
    <w:p w14:paraId="60930E9D" w14:textId="21171AEB" w:rsidR="003D235D" w:rsidRPr="00EB11DE" w:rsidRDefault="00D518F5" w:rsidP="003D235D">
      <w:pPr>
        <w:rPr>
          <w:rFonts w:ascii="Times New Roman" w:hAnsi="Times New Roman" w:cs="Times New Roman"/>
          <w:sz w:val="20"/>
          <w:szCs w:val="21"/>
        </w:rPr>
      </w:pPr>
      <w:r w:rsidRPr="00EB11DE">
        <w:rPr>
          <w:rFonts w:ascii="Times New Roman" w:hAnsi="Times New Roman" w:cs="Times New Roman"/>
          <w:sz w:val="20"/>
          <w:szCs w:val="21"/>
        </w:rPr>
        <w:t>However, in the development of the principle, there emerged a second situation where the public authority promised certain substantive benefits</w:t>
      </w:r>
      <w:r w:rsidR="005403DC" w:rsidRPr="00EB11DE">
        <w:rPr>
          <w:rFonts w:ascii="Times New Roman" w:hAnsi="Times New Roman" w:cs="Times New Roman"/>
          <w:sz w:val="20"/>
          <w:szCs w:val="21"/>
        </w:rPr>
        <w:t>, which divided the ground of</w:t>
      </w:r>
      <w:r w:rsidR="0087168D" w:rsidRPr="00EB11DE">
        <w:rPr>
          <w:rFonts w:ascii="Times New Roman" w:hAnsi="Times New Roman" w:cs="Times New Roman"/>
          <w:sz w:val="20"/>
          <w:szCs w:val="21"/>
        </w:rPr>
        <w:t xml:space="preserve"> l</w:t>
      </w:r>
      <w:r w:rsidR="005403DC" w:rsidRPr="00EB11DE">
        <w:rPr>
          <w:rFonts w:ascii="Times New Roman" w:hAnsi="Times New Roman" w:cs="Times New Roman"/>
          <w:sz w:val="20"/>
          <w:szCs w:val="21"/>
        </w:rPr>
        <w:t xml:space="preserve">egitimate expectation into two categories with </w:t>
      </w:r>
      <w:r w:rsidR="00935747" w:rsidRPr="00EB11DE">
        <w:rPr>
          <w:rFonts w:ascii="Times New Roman" w:hAnsi="Times New Roman" w:cs="Times New Roman"/>
          <w:sz w:val="20"/>
          <w:szCs w:val="21"/>
        </w:rPr>
        <w:t xml:space="preserve">different </w:t>
      </w:r>
      <w:r w:rsidR="003F7853" w:rsidRPr="00EB11DE">
        <w:rPr>
          <w:rFonts w:ascii="Times New Roman" w:hAnsi="Times New Roman" w:cs="Times New Roman"/>
          <w:sz w:val="20"/>
          <w:szCs w:val="21"/>
        </w:rPr>
        <w:t>principles</w:t>
      </w:r>
      <w:r w:rsidR="005403DC" w:rsidRPr="00EB11DE">
        <w:rPr>
          <w:rFonts w:ascii="Times New Roman" w:hAnsi="Times New Roman" w:cs="Times New Roman"/>
          <w:sz w:val="20"/>
          <w:szCs w:val="21"/>
        </w:rPr>
        <w:t xml:space="preserve"> to </w:t>
      </w:r>
      <w:r w:rsidR="00A2580D" w:rsidRPr="00EB11DE">
        <w:rPr>
          <w:rFonts w:ascii="Times New Roman" w:hAnsi="Times New Roman" w:cs="Times New Roman"/>
          <w:sz w:val="20"/>
          <w:szCs w:val="21"/>
        </w:rPr>
        <w:t xml:space="preserve">be </w:t>
      </w:r>
      <w:r w:rsidR="003D235D" w:rsidRPr="00EB11DE">
        <w:rPr>
          <w:rFonts w:ascii="Times New Roman" w:hAnsi="Times New Roman" w:cs="Times New Roman"/>
          <w:sz w:val="20"/>
          <w:szCs w:val="21"/>
        </w:rPr>
        <w:t xml:space="preserve">applied, </w:t>
      </w:r>
      <w:r w:rsidR="0087168D" w:rsidRPr="00EB11DE">
        <w:rPr>
          <w:rFonts w:ascii="Times New Roman" w:hAnsi="Times New Roman" w:cs="Times New Roman"/>
          <w:sz w:val="20"/>
          <w:szCs w:val="21"/>
        </w:rPr>
        <w:t xml:space="preserve">namely, substantive legitimate expectation and procedural </w:t>
      </w:r>
      <w:r w:rsidR="003D235D" w:rsidRPr="00EB11DE">
        <w:rPr>
          <w:rFonts w:ascii="Times New Roman" w:hAnsi="Times New Roman" w:cs="Times New Roman"/>
          <w:sz w:val="20"/>
          <w:szCs w:val="21"/>
        </w:rPr>
        <w:t xml:space="preserve">legitimate </w:t>
      </w:r>
      <w:r w:rsidR="0087168D" w:rsidRPr="00EB11DE">
        <w:rPr>
          <w:rFonts w:ascii="Times New Roman" w:hAnsi="Times New Roman" w:cs="Times New Roman"/>
          <w:sz w:val="20"/>
          <w:szCs w:val="21"/>
        </w:rPr>
        <w:t xml:space="preserve">expectation. </w:t>
      </w:r>
    </w:p>
    <w:p w14:paraId="29DADFCB" w14:textId="20DBE31C" w:rsidR="003D235D" w:rsidRPr="00EB11DE" w:rsidRDefault="003D235D" w:rsidP="00D518F5">
      <w:pPr>
        <w:rPr>
          <w:rFonts w:ascii="Times New Roman" w:hAnsi="Times New Roman" w:cs="Times New Roman"/>
          <w:sz w:val="20"/>
          <w:szCs w:val="21"/>
        </w:rPr>
      </w:pPr>
      <w:r w:rsidRPr="00EB11DE">
        <w:rPr>
          <w:rFonts w:ascii="Times New Roman" w:hAnsi="Times New Roman" w:cs="Times New Roman"/>
          <w:sz w:val="20"/>
          <w:szCs w:val="21"/>
        </w:rPr>
        <w:t xml:space="preserve">Initially, courts were reluctant to recognize substantive legitimate expectations, fearing they would </w:t>
      </w:r>
      <w:r w:rsidR="00AA51D9" w:rsidRPr="00EB11DE">
        <w:rPr>
          <w:rFonts w:ascii="Times New Roman" w:hAnsi="Times New Roman" w:cs="Times New Roman"/>
          <w:sz w:val="20"/>
          <w:szCs w:val="21"/>
        </w:rPr>
        <w:t xml:space="preserve">interfere with </w:t>
      </w:r>
      <w:r w:rsidRPr="00EB11DE">
        <w:rPr>
          <w:rFonts w:ascii="Times New Roman" w:hAnsi="Times New Roman" w:cs="Times New Roman"/>
          <w:sz w:val="20"/>
          <w:szCs w:val="21"/>
        </w:rPr>
        <w:t xml:space="preserve">executive discretion. However, early support emerged in tax cases where authorities made binding representations. In </w:t>
      </w:r>
      <w:r w:rsidRPr="00EB11DE">
        <w:rPr>
          <w:rFonts w:ascii="Times New Roman" w:hAnsi="Times New Roman" w:cs="Times New Roman"/>
          <w:i/>
          <w:iCs/>
          <w:sz w:val="20"/>
          <w:szCs w:val="21"/>
        </w:rPr>
        <w:t>R v Inland Revenue Commissioners, ex p MFK Underwriting Agents Ltd</w:t>
      </w:r>
      <w:r w:rsidRPr="00EB11DE">
        <w:rPr>
          <w:rStyle w:val="af4"/>
          <w:rFonts w:ascii="Times New Roman" w:hAnsi="Times New Roman" w:cs="Times New Roman"/>
          <w:sz w:val="20"/>
          <w:szCs w:val="21"/>
        </w:rPr>
        <w:footnoteReference w:id="4"/>
      </w:r>
      <w:r w:rsidRPr="00EB11DE">
        <w:rPr>
          <w:rFonts w:ascii="Times New Roman" w:hAnsi="Times New Roman" w:cs="Times New Roman"/>
          <w:sz w:val="20"/>
          <w:szCs w:val="21"/>
        </w:rPr>
        <w:t xml:space="preserve">, Bingham LJ held that the Revenue could be </w:t>
      </w:r>
      <w:proofErr w:type="gramStart"/>
      <w:r w:rsidRPr="00EB11DE">
        <w:rPr>
          <w:rFonts w:ascii="Times New Roman" w:hAnsi="Times New Roman" w:cs="Times New Roman"/>
          <w:sz w:val="20"/>
          <w:szCs w:val="21"/>
        </w:rPr>
        <w:t>estopped</w:t>
      </w:r>
      <w:proofErr w:type="gramEnd"/>
      <w:r w:rsidRPr="00EB11DE">
        <w:rPr>
          <w:rFonts w:ascii="Times New Roman" w:hAnsi="Times New Roman" w:cs="Times New Roman"/>
          <w:sz w:val="20"/>
          <w:szCs w:val="21"/>
        </w:rPr>
        <w:t xml:space="preserve"> from resiling from clear assurances, provided they were "clear, unambiguous, and devoid of relevant qualification." Similarly, in R v Inland Revenue Commissioners, ex p Unilever [1996] STC 681, the court ruled that a long-standing practice of accepting late tax returns created a legitimate expectation that could not be abruptly withdrawn without notice.</w:t>
      </w:r>
    </w:p>
    <w:p w14:paraId="1F725A51" w14:textId="40640C6B" w:rsidR="008D31CB" w:rsidRDefault="008D31CB" w:rsidP="00D518F5">
      <w:pPr>
        <w:rPr>
          <w:rFonts w:ascii="Times New Roman" w:hAnsi="Times New Roman" w:cs="Times New Roman"/>
          <w:sz w:val="20"/>
          <w:szCs w:val="21"/>
        </w:rPr>
      </w:pPr>
      <w:r w:rsidRPr="00EB11DE">
        <w:rPr>
          <w:rFonts w:ascii="Times New Roman" w:hAnsi="Times New Roman" w:cs="Times New Roman"/>
          <w:sz w:val="20"/>
          <w:szCs w:val="21"/>
        </w:rPr>
        <w:t xml:space="preserve">The most significant development came in </w:t>
      </w:r>
      <w:r w:rsidRPr="00EB11DE">
        <w:rPr>
          <w:rFonts w:ascii="Times New Roman" w:hAnsi="Times New Roman" w:cs="Times New Roman"/>
          <w:i/>
          <w:iCs/>
          <w:sz w:val="20"/>
          <w:szCs w:val="21"/>
        </w:rPr>
        <w:t xml:space="preserve">R v North and East Devon Health Authority, ex p </w:t>
      </w:r>
      <w:r w:rsidRPr="00EB11DE">
        <w:rPr>
          <w:rFonts w:ascii="Times New Roman" w:hAnsi="Times New Roman" w:cs="Times New Roman"/>
          <w:i/>
          <w:iCs/>
          <w:sz w:val="20"/>
          <w:szCs w:val="21"/>
        </w:rPr>
        <w:lastRenderedPageBreak/>
        <w:t>Coughlan</w:t>
      </w:r>
      <w:r w:rsidR="008D238A" w:rsidRPr="00EB11DE">
        <w:rPr>
          <w:rStyle w:val="af4"/>
          <w:rFonts w:ascii="Times New Roman" w:hAnsi="Times New Roman" w:cs="Times New Roman"/>
          <w:sz w:val="20"/>
          <w:szCs w:val="21"/>
        </w:rPr>
        <w:footnoteReference w:id="5"/>
      </w:r>
      <w:r w:rsidRPr="00EB11DE">
        <w:rPr>
          <w:rFonts w:ascii="Times New Roman" w:hAnsi="Times New Roman" w:cs="Times New Roman"/>
          <w:sz w:val="20"/>
          <w:szCs w:val="21"/>
        </w:rPr>
        <w:t xml:space="preserve">, where the Court of Appeal recognized that legitimate expectations could be </w:t>
      </w:r>
      <w:proofErr w:type="gramStart"/>
      <w:r w:rsidRPr="00EB11DE">
        <w:rPr>
          <w:rFonts w:ascii="Times New Roman" w:hAnsi="Times New Roman" w:cs="Times New Roman"/>
          <w:sz w:val="20"/>
          <w:szCs w:val="21"/>
        </w:rPr>
        <w:t>substantive—enforcing</w:t>
      </w:r>
      <w:proofErr w:type="gramEnd"/>
      <w:r w:rsidRPr="00EB11DE">
        <w:rPr>
          <w:rFonts w:ascii="Times New Roman" w:hAnsi="Times New Roman" w:cs="Times New Roman"/>
          <w:sz w:val="20"/>
          <w:szCs w:val="21"/>
        </w:rPr>
        <w:t xml:space="preserve"> the actual benefit promised, not just the procedure</w:t>
      </w:r>
      <w:r w:rsidR="00A65CCF">
        <w:rPr>
          <w:rFonts w:ascii="Times New Roman" w:hAnsi="Times New Roman" w:cs="Times New Roman" w:hint="eastAsia"/>
          <w:sz w:val="20"/>
          <w:szCs w:val="21"/>
        </w:rPr>
        <w:t xml:space="preserve">, as the court </w:t>
      </w:r>
      <w:r w:rsidR="00575778">
        <w:rPr>
          <w:rFonts w:ascii="Times New Roman" w:hAnsi="Times New Roman" w:cs="Times New Roman" w:hint="eastAsia"/>
          <w:sz w:val="20"/>
          <w:szCs w:val="21"/>
        </w:rPr>
        <w:t xml:space="preserve">found </w:t>
      </w:r>
      <w:r w:rsidR="00A65CCF" w:rsidRPr="00A65CCF">
        <w:rPr>
          <w:rFonts w:ascii="Times New Roman" w:hAnsi="Times New Roman" w:cs="Times New Roman" w:hint="eastAsia"/>
          <w:sz w:val="20"/>
          <w:szCs w:val="21"/>
        </w:rPr>
        <w:t>that some promises are so specific and weighty that fairness demands their enforcement.</w:t>
      </w:r>
      <w:r w:rsidRPr="00EB11DE">
        <w:rPr>
          <w:rFonts w:ascii="Times New Roman" w:hAnsi="Times New Roman" w:cs="Times New Roman"/>
          <w:sz w:val="20"/>
          <w:szCs w:val="21"/>
        </w:rPr>
        <w:t xml:space="preserve"> Not only recognizing it, </w:t>
      </w:r>
      <w:r w:rsidR="00E10BC2">
        <w:rPr>
          <w:rFonts w:ascii="Times New Roman" w:hAnsi="Times New Roman" w:cs="Times New Roman" w:hint="eastAsia"/>
          <w:sz w:val="20"/>
          <w:szCs w:val="21"/>
        </w:rPr>
        <w:t xml:space="preserve">the </w:t>
      </w:r>
      <w:r w:rsidRPr="00EB11DE">
        <w:rPr>
          <w:rFonts w:ascii="Times New Roman" w:hAnsi="Times New Roman" w:cs="Times New Roman"/>
          <w:i/>
          <w:iCs/>
          <w:sz w:val="20"/>
          <w:szCs w:val="21"/>
        </w:rPr>
        <w:t>Coughlan</w:t>
      </w:r>
      <w:r w:rsidRPr="00EB11DE">
        <w:rPr>
          <w:rFonts w:ascii="Times New Roman" w:hAnsi="Times New Roman" w:cs="Times New Roman"/>
          <w:sz w:val="20"/>
          <w:szCs w:val="21"/>
        </w:rPr>
        <w:t xml:space="preserve"> </w:t>
      </w:r>
      <w:r w:rsidR="00B02C34">
        <w:rPr>
          <w:rStyle w:val="af4"/>
          <w:rFonts w:ascii="Times New Roman" w:hAnsi="Times New Roman" w:cs="Times New Roman"/>
          <w:sz w:val="20"/>
          <w:szCs w:val="21"/>
        </w:rPr>
        <w:footnoteReference w:id="6"/>
      </w:r>
      <w:r w:rsidR="00D63F04" w:rsidRPr="00EB11DE">
        <w:rPr>
          <w:rFonts w:ascii="Times New Roman" w:hAnsi="Times New Roman" w:cs="Times New Roman"/>
          <w:sz w:val="20"/>
          <w:szCs w:val="21"/>
        </w:rPr>
        <w:t xml:space="preserve">also </w:t>
      </w:r>
      <w:r w:rsidRPr="00EB11DE">
        <w:rPr>
          <w:rFonts w:ascii="Times New Roman" w:hAnsi="Times New Roman" w:cs="Times New Roman"/>
          <w:sz w:val="20"/>
          <w:szCs w:val="21"/>
        </w:rPr>
        <w:t xml:space="preserve">blurred the line between procedural and substantive expectations by recognizing </w:t>
      </w:r>
      <w:r w:rsidR="00B02C34">
        <w:rPr>
          <w:rFonts w:ascii="Times New Roman" w:hAnsi="Times New Roman" w:cs="Times New Roman" w:hint="eastAsia"/>
          <w:sz w:val="20"/>
          <w:szCs w:val="21"/>
        </w:rPr>
        <w:t>3 categories of LE</w:t>
      </w:r>
      <w:r w:rsidRPr="00EB11DE">
        <w:rPr>
          <w:rFonts w:ascii="Times New Roman" w:hAnsi="Times New Roman" w:cs="Times New Roman"/>
          <w:sz w:val="20"/>
          <w:szCs w:val="21"/>
        </w:rPr>
        <w:t>.</w:t>
      </w:r>
      <w:r w:rsidR="00B02C34" w:rsidRPr="00B02C34">
        <w:rPr>
          <w:rFonts w:ascii="Times New Roman" w:hAnsi="Times New Roman" w:cs="Times New Roman" w:hint="eastAsia"/>
          <w:sz w:val="20"/>
          <w:szCs w:val="21"/>
        </w:rPr>
        <w:t xml:space="preserve"> The difference between </w:t>
      </w:r>
      <w:r w:rsidR="00672A34">
        <w:rPr>
          <w:rFonts w:ascii="Times New Roman" w:hAnsi="Times New Roman" w:cs="Times New Roman" w:hint="eastAsia"/>
          <w:sz w:val="20"/>
          <w:szCs w:val="21"/>
        </w:rPr>
        <w:t>type 1 and type 3</w:t>
      </w:r>
      <w:r w:rsidR="00B02C34" w:rsidRPr="00B02C34">
        <w:rPr>
          <w:rFonts w:ascii="Times New Roman" w:hAnsi="Times New Roman" w:cs="Times New Roman" w:hint="eastAsia"/>
          <w:sz w:val="20"/>
          <w:szCs w:val="21"/>
        </w:rPr>
        <w:t xml:space="preserve"> is slightly obscure</w:t>
      </w:r>
      <w:r w:rsidR="00672A34">
        <w:rPr>
          <w:rFonts w:ascii="Times New Roman" w:hAnsi="Times New Roman" w:cs="Times New Roman" w:hint="eastAsia"/>
          <w:sz w:val="20"/>
          <w:szCs w:val="21"/>
        </w:rPr>
        <w:t xml:space="preserve"> and it is hard to draw a dividing line between the two. </w:t>
      </w:r>
      <w:r w:rsidR="00384530">
        <w:rPr>
          <w:rFonts w:ascii="Times New Roman" w:hAnsi="Times New Roman" w:cs="Times New Roman"/>
          <w:sz w:val="20"/>
          <w:szCs w:val="21"/>
        </w:rPr>
        <w:t>Therefore,</w:t>
      </w:r>
      <w:r w:rsidR="0074207F">
        <w:rPr>
          <w:rFonts w:ascii="Times New Roman" w:hAnsi="Times New Roman" w:cs="Times New Roman" w:hint="eastAsia"/>
          <w:sz w:val="20"/>
          <w:szCs w:val="21"/>
        </w:rPr>
        <w:t xml:space="preserve"> </w:t>
      </w:r>
      <w:r w:rsidR="00E10BC2" w:rsidRPr="00E10BC2">
        <w:rPr>
          <w:rFonts w:ascii="Times New Roman" w:hAnsi="Times New Roman" w:cs="Times New Roman" w:hint="eastAsia"/>
          <w:sz w:val="20"/>
          <w:szCs w:val="21"/>
        </w:rPr>
        <w:t>it undoubtedly causes</w:t>
      </w:r>
      <w:r w:rsidR="00384530">
        <w:rPr>
          <w:rFonts w:ascii="Times New Roman" w:hAnsi="Times New Roman" w:cs="Times New Roman" w:hint="eastAsia"/>
          <w:sz w:val="20"/>
          <w:szCs w:val="21"/>
        </w:rPr>
        <w:t xml:space="preserve"> </w:t>
      </w:r>
      <w:r w:rsidR="0074207F">
        <w:rPr>
          <w:rFonts w:ascii="Times New Roman" w:hAnsi="Times New Roman" w:cs="Times New Roman" w:hint="eastAsia"/>
          <w:sz w:val="20"/>
          <w:szCs w:val="21"/>
        </w:rPr>
        <w:t xml:space="preserve">uncertainty for the authority to decide whether it should just </w:t>
      </w:r>
      <w:r w:rsidR="00384530">
        <w:rPr>
          <w:rFonts w:ascii="Times New Roman" w:hAnsi="Times New Roman" w:cs="Times New Roman"/>
          <w:sz w:val="20"/>
          <w:szCs w:val="21"/>
        </w:rPr>
        <w:t>give</w:t>
      </w:r>
      <w:r w:rsidR="0074207F">
        <w:rPr>
          <w:rFonts w:ascii="Times New Roman" w:hAnsi="Times New Roman" w:cs="Times New Roman" w:hint="eastAsia"/>
          <w:sz w:val="20"/>
          <w:szCs w:val="21"/>
        </w:rPr>
        <w:t xml:space="preserve"> weight </w:t>
      </w:r>
      <w:r w:rsidR="00384530">
        <w:rPr>
          <w:rFonts w:ascii="Times New Roman" w:hAnsi="Times New Roman" w:cs="Times New Roman" w:hint="eastAsia"/>
          <w:sz w:val="20"/>
          <w:szCs w:val="21"/>
        </w:rPr>
        <w:t xml:space="preserve">to </w:t>
      </w:r>
      <w:r w:rsidR="0074207F">
        <w:rPr>
          <w:rFonts w:ascii="Times New Roman" w:hAnsi="Times New Roman" w:cs="Times New Roman" w:hint="eastAsia"/>
          <w:sz w:val="20"/>
          <w:szCs w:val="21"/>
        </w:rPr>
        <w:t>its previous policy (or representation) before deciding whether to change course</w:t>
      </w:r>
      <w:r w:rsidR="00384530">
        <w:rPr>
          <w:rFonts w:ascii="Times New Roman" w:hAnsi="Times New Roman" w:cs="Times New Roman" w:hint="eastAsia"/>
          <w:sz w:val="20"/>
          <w:szCs w:val="21"/>
        </w:rPr>
        <w:t xml:space="preserve">, </w:t>
      </w:r>
      <w:r w:rsidR="0074207F">
        <w:rPr>
          <w:rFonts w:ascii="Times New Roman" w:hAnsi="Times New Roman" w:cs="Times New Roman" w:hint="eastAsia"/>
          <w:sz w:val="20"/>
          <w:szCs w:val="21"/>
        </w:rPr>
        <w:t xml:space="preserve">or </w:t>
      </w:r>
      <w:r w:rsidR="00384530">
        <w:rPr>
          <w:rFonts w:ascii="Times New Roman" w:hAnsi="Times New Roman" w:cs="Times New Roman" w:hint="eastAsia"/>
          <w:sz w:val="20"/>
          <w:szCs w:val="21"/>
        </w:rPr>
        <w:t xml:space="preserve">that </w:t>
      </w:r>
      <w:r w:rsidR="005838A9">
        <w:rPr>
          <w:rFonts w:ascii="Times New Roman" w:hAnsi="Times New Roman" w:cs="Times New Roman" w:hint="eastAsia"/>
          <w:sz w:val="20"/>
          <w:szCs w:val="21"/>
        </w:rPr>
        <w:t xml:space="preserve">it </w:t>
      </w:r>
      <w:r w:rsidR="0074207F" w:rsidRPr="0074207F">
        <w:rPr>
          <w:rFonts w:ascii="Times New Roman" w:hAnsi="Times New Roman" w:cs="Times New Roman" w:hint="eastAsia"/>
          <w:sz w:val="20"/>
          <w:szCs w:val="21"/>
        </w:rPr>
        <w:t>is so unfair that to</w:t>
      </w:r>
      <w:r w:rsidR="005838A9">
        <w:rPr>
          <w:rFonts w:ascii="Times New Roman" w:hAnsi="Times New Roman" w:cs="Times New Roman" w:hint="eastAsia"/>
          <w:sz w:val="20"/>
          <w:szCs w:val="21"/>
        </w:rPr>
        <w:t xml:space="preserve"> frustrate the expectation that it</w:t>
      </w:r>
      <w:r w:rsidR="00706F3F">
        <w:rPr>
          <w:rFonts w:ascii="Times New Roman" w:hAnsi="Times New Roman" w:cs="Times New Roman" w:hint="eastAsia"/>
          <w:sz w:val="20"/>
          <w:szCs w:val="21"/>
        </w:rPr>
        <w:t xml:space="preserve"> </w:t>
      </w:r>
      <w:r w:rsidR="0074207F" w:rsidRPr="0074207F">
        <w:rPr>
          <w:rFonts w:ascii="Times New Roman" w:hAnsi="Times New Roman" w:cs="Times New Roman" w:hint="eastAsia"/>
          <w:sz w:val="20"/>
          <w:szCs w:val="21"/>
        </w:rPr>
        <w:t>will amount to an ab</w:t>
      </w:r>
      <w:r w:rsidR="00384530">
        <w:rPr>
          <w:rFonts w:ascii="Times New Roman" w:hAnsi="Times New Roman" w:cs="Times New Roman" w:hint="eastAsia"/>
          <w:sz w:val="20"/>
          <w:szCs w:val="21"/>
        </w:rPr>
        <w:t>use of power.</w:t>
      </w:r>
      <w:r w:rsidR="0017772D">
        <w:rPr>
          <w:rFonts w:ascii="Times New Roman" w:hAnsi="Times New Roman" w:cs="Times New Roman"/>
          <w:sz w:val="20"/>
          <w:szCs w:val="21"/>
        </w:rPr>
        <w:t xml:space="preserve"> And the court also expressed the intention to let the concept open to future develop </w:t>
      </w:r>
      <w:proofErr w:type="gramStart"/>
      <w:r w:rsidR="0017772D">
        <w:rPr>
          <w:rFonts w:ascii="Times New Roman" w:hAnsi="Times New Roman" w:cs="Times New Roman"/>
          <w:sz w:val="20"/>
          <w:szCs w:val="21"/>
        </w:rPr>
        <w:t>in</w:t>
      </w:r>
      <w:proofErr w:type="gramEnd"/>
      <w:r w:rsidR="0017772D">
        <w:rPr>
          <w:rFonts w:ascii="Times New Roman" w:hAnsi="Times New Roman" w:cs="Times New Roman"/>
          <w:sz w:val="20"/>
          <w:szCs w:val="21"/>
        </w:rPr>
        <w:t xml:space="preserve"> a </w:t>
      </w:r>
      <w:proofErr w:type="gramStart"/>
      <w:r w:rsidR="0017772D">
        <w:rPr>
          <w:rFonts w:ascii="Times New Roman" w:hAnsi="Times New Roman" w:cs="Times New Roman"/>
          <w:sz w:val="20"/>
          <w:szCs w:val="21"/>
        </w:rPr>
        <w:t>case by case</w:t>
      </w:r>
      <w:proofErr w:type="gramEnd"/>
      <w:r w:rsidR="0017772D">
        <w:rPr>
          <w:rFonts w:ascii="Times New Roman" w:hAnsi="Times New Roman" w:cs="Times New Roman"/>
          <w:sz w:val="20"/>
          <w:szCs w:val="21"/>
        </w:rPr>
        <w:t xml:space="preserve"> basis.</w:t>
      </w:r>
      <w:r w:rsidR="0017772D">
        <w:rPr>
          <w:rStyle w:val="af4"/>
          <w:rFonts w:ascii="Times New Roman" w:hAnsi="Times New Roman" w:cs="Times New Roman"/>
          <w:sz w:val="20"/>
          <w:szCs w:val="21"/>
        </w:rPr>
        <w:footnoteReference w:id="7"/>
      </w:r>
    </w:p>
    <w:p w14:paraId="0F7C0582" w14:textId="6855B154" w:rsidR="00DC4E93" w:rsidRPr="00DC4E93" w:rsidRDefault="00DC4E93" w:rsidP="00D518F5">
      <w:pPr>
        <w:rPr>
          <w:rFonts w:ascii="Times New Roman" w:hAnsi="Times New Roman" w:cs="Times New Roman"/>
          <w:sz w:val="20"/>
          <w:szCs w:val="21"/>
        </w:rPr>
      </w:pPr>
      <w:r w:rsidRPr="00EB11DE">
        <w:rPr>
          <w:rFonts w:ascii="Times New Roman" w:hAnsi="Times New Roman" w:cs="Times New Roman"/>
          <w:sz w:val="20"/>
          <w:szCs w:val="21"/>
        </w:rPr>
        <w:t xml:space="preserve">Procedural </w:t>
      </w:r>
      <w:r w:rsidR="002816B7">
        <w:rPr>
          <w:rFonts w:ascii="Times New Roman" w:hAnsi="Times New Roman" w:cs="Times New Roman" w:hint="eastAsia"/>
          <w:sz w:val="20"/>
          <w:szCs w:val="21"/>
        </w:rPr>
        <w:t>l</w:t>
      </w:r>
      <w:r w:rsidR="008837E2" w:rsidRPr="00EB11DE">
        <w:rPr>
          <w:rFonts w:ascii="Times New Roman" w:hAnsi="Times New Roman" w:cs="Times New Roman"/>
          <w:sz w:val="20"/>
          <w:szCs w:val="21"/>
        </w:rPr>
        <w:t>egitimate expectation</w:t>
      </w:r>
      <w:r w:rsidR="002816B7">
        <w:rPr>
          <w:rFonts w:ascii="Times New Roman" w:hAnsi="Times New Roman" w:cs="Times New Roman" w:hint="eastAsia"/>
          <w:sz w:val="20"/>
          <w:szCs w:val="21"/>
        </w:rPr>
        <w:t>s</w:t>
      </w:r>
      <w:r w:rsidR="008837E2" w:rsidRPr="00EB11DE">
        <w:rPr>
          <w:rFonts w:ascii="Times New Roman" w:hAnsi="Times New Roman" w:cs="Times New Roman"/>
          <w:sz w:val="20"/>
          <w:szCs w:val="21"/>
        </w:rPr>
        <w:t xml:space="preserve"> </w:t>
      </w:r>
      <w:r w:rsidRPr="00EB11DE">
        <w:rPr>
          <w:rFonts w:ascii="Times New Roman" w:hAnsi="Times New Roman" w:cs="Times New Roman"/>
          <w:sz w:val="20"/>
          <w:szCs w:val="21"/>
        </w:rPr>
        <w:t xml:space="preserve">do not compel a particular outcome but ensure that decision-making adheres to fairness. Courts are generally more willing to enforce procedural safeguards, as they do not interfere with the merits of executive decisions. </w:t>
      </w:r>
      <w:r>
        <w:rPr>
          <w:rFonts w:ascii="Times New Roman" w:hAnsi="Times New Roman" w:cs="Times New Roman" w:hint="eastAsia"/>
          <w:sz w:val="20"/>
          <w:szCs w:val="21"/>
        </w:rPr>
        <w:t xml:space="preserve">Unlike procedural </w:t>
      </w:r>
      <w:r w:rsidR="002816B7">
        <w:rPr>
          <w:rFonts w:ascii="Times New Roman" w:hAnsi="Times New Roman" w:cs="Times New Roman" w:hint="eastAsia"/>
          <w:sz w:val="20"/>
          <w:szCs w:val="21"/>
        </w:rPr>
        <w:t>l</w:t>
      </w:r>
      <w:r w:rsidR="008837E2" w:rsidRPr="00EB11DE">
        <w:rPr>
          <w:rFonts w:ascii="Times New Roman" w:hAnsi="Times New Roman" w:cs="Times New Roman"/>
          <w:sz w:val="20"/>
          <w:szCs w:val="21"/>
        </w:rPr>
        <w:t xml:space="preserve">egitimate </w:t>
      </w:r>
      <w:r w:rsidR="00A85757" w:rsidRPr="00EB11DE">
        <w:rPr>
          <w:rFonts w:ascii="Times New Roman" w:hAnsi="Times New Roman" w:cs="Times New Roman"/>
          <w:sz w:val="20"/>
          <w:szCs w:val="21"/>
        </w:rPr>
        <w:t>expectations</w:t>
      </w:r>
      <w:r>
        <w:rPr>
          <w:rFonts w:ascii="Times New Roman" w:hAnsi="Times New Roman" w:cs="Times New Roman" w:hint="eastAsia"/>
          <w:sz w:val="20"/>
          <w:szCs w:val="21"/>
        </w:rPr>
        <w:t>, the court</w:t>
      </w:r>
      <w:r w:rsidR="00EF5148">
        <w:rPr>
          <w:rFonts w:ascii="Times New Roman" w:hAnsi="Times New Roman" w:cs="Times New Roman" w:hint="eastAsia"/>
          <w:sz w:val="20"/>
          <w:szCs w:val="21"/>
        </w:rPr>
        <w:t>s</w:t>
      </w:r>
      <w:r>
        <w:rPr>
          <w:rFonts w:ascii="Times New Roman" w:hAnsi="Times New Roman" w:cs="Times New Roman" w:hint="eastAsia"/>
          <w:sz w:val="20"/>
          <w:szCs w:val="21"/>
        </w:rPr>
        <w:t xml:space="preserve"> </w:t>
      </w:r>
      <w:r w:rsidR="00EF5148">
        <w:rPr>
          <w:rFonts w:ascii="Times New Roman" w:hAnsi="Times New Roman" w:cs="Times New Roman" w:hint="eastAsia"/>
          <w:sz w:val="20"/>
          <w:szCs w:val="21"/>
        </w:rPr>
        <w:t>are</w:t>
      </w:r>
      <w:r>
        <w:rPr>
          <w:rFonts w:ascii="Times New Roman" w:hAnsi="Times New Roman" w:cs="Times New Roman" w:hint="eastAsia"/>
          <w:sz w:val="20"/>
          <w:szCs w:val="21"/>
        </w:rPr>
        <w:t xml:space="preserve"> </w:t>
      </w:r>
      <w:r>
        <w:rPr>
          <w:rFonts w:ascii="Times New Roman" w:hAnsi="Times New Roman" w:cs="Times New Roman"/>
          <w:sz w:val="20"/>
          <w:szCs w:val="21"/>
        </w:rPr>
        <w:t>reluctant</w:t>
      </w:r>
      <w:r>
        <w:rPr>
          <w:rFonts w:ascii="Times New Roman" w:hAnsi="Times New Roman" w:cs="Times New Roman" w:hint="eastAsia"/>
          <w:sz w:val="20"/>
          <w:szCs w:val="21"/>
        </w:rPr>
        <w:t xml:space="preserve"> to </w:t>
      </w:r>
      <w:r>
        <w:rPr>
          <w:rFonts w:ascii="Times New Roman" w:hAnsi="Times New Roman" w:cs="Times New Roman"/>
          <w:sz w:val="20"/>
          <w:szCs w:val="21"/>
        </w:rPr>
        <w:t>accept</w:t>
      </w:r>
      <w:r>
        <w:rPr>
          <w:rFonts w:ascii="Times New Roman" w:hAnsi="Times New Roman" w:cs="Times New Roman" w:hint="eastAsia"/>
          <w:sz w:val="20"/>
          <w:szCs w:val="21"/>
        </w:rPr>
        <w:t xml:space="preserve"> </w:t>
      </w:r>
      <w:r>
        <w:rPr>
          <w:rFonts w:ascii="Times New Roman" w:hAnsi="Times New Roman" w:cs="Times New Roman"/>
          <w:sz w:val="20"/>
          <w:szCs w:val="21"/>
        </w:rPr>
        <w:t>substantive</w:t>
      </w:r>
      <w:r>
        <w:rPr>
          <w:rFonts w:ascii="Times New Roman" w:hAnsi="Times New Roman" w:cs="Times New Roman" w:hint="eastAsia"/>
          <w:sz w:val="20"/>
          <w:szCs w:val="21"/>
        </w:rPr>
        <w:t xml:space="preserve"> </w:t>
      </w:r>
      <w:r w:rsidR="009C1C68">
        <w:rPr>
          <w:rFonts w:ascii="Times New Roman" w:hAnsi="Times New Roman" w:cs="Times New Roman" w:hint="eastAsia"/>
          <w:sz w:val="20"/>
          <w:szCs w:val="21"/>
        </w:rPr>
        <w:t>l</w:t>
      </w:r>
      <w:r w:rsidR="009C1C68" w:rsidRPr="00EB11DE">
        <w:rPr>
          <w:rFonts w:ascii="Times New Roman" w:hAnsi="Times New Roman" w:cs="Times New Roman"/>
          <w:sz w:val="20"/>
          <w:szCs w:val="21"/>
        </w:rPr>
        <w:t>egitimate expectations</w:t>
      </w:r>
      <w:r w:rsidR="009C1C68">
        <w:rPr>
          <w:rFonts w:ascii="Times New Roman" w:hAnsi="Times New Roman" w:cs="Times New Roman" w:hint="eastAsia"/>
          <w:sz w:val="20"/>
          <w:szCs w:val="21"/>
        </w:rPr>
        <w:t xml:space="preserve"> </w:t>
      </w:r>
      <w:r>
        <w:rPr>
          <w:rFonts w:ascii="Times New Roman" w:hAnsi="Times New Roman" w:cs="Times New Roman" w:hint="eastAsia"/>
          <w:sz w:val="20"/>
          <w:szCs w:val="21"/>
        </w:rPr>
        <w:t xml:space="preserve">and </w:t>
      </w:r>
      <w:r w:rsidR="009C1C68">
        <w:rPr>
          <w:rFonts w:ascii="Times New Roman" w:hAnsi="Times New Roman" w:cs="Times New Roman" w:hint="eastAsia"/>
          <w:sz w:val="20"/>
          <w:szCs w:val="21"/>
        </w:rPr>
        <w:t>try</w:t>
      </w:r>
      <w:r>
        <w:rPr>
          <w:rFonts w:ascii="Times New Roman" w:hAnsi="Times New Roman" w:cs="Times New Roman" w:hint="eastAsia"/>
          <w:sz w:val="20"/>
          <w:szCs w:val="21"/>
        </w:rPr>
        <w:t xml:space="preserve"> to narrow its scope of </w:t>
      </w:r>
      <w:r w:rsidR="009C6614" w:rsidRPr="009C6614">
        <w:rPr>
          <w:rFonts w:ascii="Times New Roman" w:hAnsi="Times New Roman" w:cs="Times New Roman"/>
          <w:sz w:val="20"/>
          <w:szCs w:val="21"/>
        </w:rPr>
        <w:t>application</w:t>
      </w:r>
      <w:r>
        <w:rPr>
          <w:rFonts w:ascii="Times New Roman" w:hAnsi="Times New Roman" w:cs="Times New Roman" w:hint="eastAsia"/>
          <w:sz w:val="20"/>
          <w:szCs w:val="21"/>
        </w:rPr>
        <w:t xml:space="preserve">. </w:t>
      </w:r>
      <w:r w:rsidR="0079383C">
        <w:rPr>
          <w:rFonts w:ascii="Times New Roman" w:hAnsi="Times New Roman" w:cs="Times New Roman" w:hint="eastAsia"/>
          <w:sz w:val="20"/>
          <w:szCs w:val="21"/>
        </w:rPr>
        <w:t xml:space="preserve">As </w:t>
      </w:r>
      <w:r w:rsidR="0079383C" w:rsidRPr="0079383C">
        <w:rPr>
          <w:rFonts w:ascii="Times New Roman" w:hAnsi="Times New Roman" w:cs="Times New Roman"/>
          <w:sz w:val="20"/>
          <w:szCs w:val="21"/>
        </w:rPr>
        <w:t>Laws LJ warned </w:t>
      </w:r>
      <w:r w:rsidR="0079383C">
        <w:rPr>
          <w:rFonts w:ascii="Times New Roman" w:hAnsi="Times New Roman" w:cs="Times New Roman" w:hint="eastAsia"/>
          <w:sz w:val="20"/>
          <w:szCs w:val="21"/>
        </w:rPr>
        <w:t>in</w:t>
      </w:r>
      <w:r w:rsidR="0079383C" w:rsidRPr="0079383C">
        <w:rPr>
          <w:rFonts w:ascii="Times New Roman" w:hAnsi="Times New Roman" w:cs="Times New Roman" w:hint="eastAsia"/>
          <w:sz w:val="20"/>
          <w:szCs w:val="21"/>
        </w:rPr>
        <w:t xml:space="preserve"> </w:t>
      </w:r>
      <w:r w:rsidR="0079383C" w:rsidRPr="0079383C">
        <w:rPr>
          <w:rFonts w:ascii="Times New Roman" w:hAnsi="Times New Roman" w:cs="Times New Roman" w:hint="eastAsia"/>
          <w:i/>
          <w:iCs/>
          <w:sz w:val="20"/>
          <w:szCs w:val="21"/>
        </w:rPr>
        <w:t>R v Secretary of State for Education, ex p Begbie</w:t>
      </w:r>
      <w:r w:rsidR="0079383C">
        <w:rPr>
          <w:rStyle w:val="af4"/>
          <w:rFonts w:ascii="Times New Roman" w:hAnsi="Times New Roman" w:cs="Times New Roman"/>
          <w:sz w:val="20"/>
          <w:szCs w:val="21"/>
        </w:rPr>
        <w:footnoteReference w:id="8"/>
      </w:r>
      <w:r w:rsidR="0079383C">
        <w:rPr>
          <w:rFonts w:ascii="Times New Roman" w:hAnsi="Times New Roman" w:cs="Times New Roman" w:hint="eastAsia"/>
          <w:sz w:val="20"/>
          <w:szCs w:val="21"/>
        </w:rPr>
        <w:t xml:space="preserve"> </w:t>
      </w:r>
      <w:r w:rsidR="0079383C" w:rsidRPr="0079383C">
        <w:rPr>
          <w:rFonts w:ascii="Times New Roman" w:hAnsi="Times New Roman" w:cs="Times New Roman" w:hint="eastAsia"/>
          <w:sz w:val="20"/>
          <w:szCs w:val="21"/>
        </w:rPr>
        <w:t>"enforcing substantive expectations risked turning courts into "arbiters of the merits of public policy."</w:t>
      </w:r>
    </w:p>
    <w:p w14:paraId="541409BC" w14:textId="7C472076" w:rsidR="00935747" w:rsidRDefault="005F12A7" w:rsidP="00D518F5">
      <w:pPr>
        <w:rPr>
          <w:rFonts w:ascii="Times New Roman" w:hAnsi="Times New Roman" w:cs="Times New Roman"/>
          <w:sz w:val="20"/>
          <w:szCs w:val="21"/>
        </w:rPr>
      </w:pPr>
      <w:r>
        <w:rPr>
          <w:rFonts w:ascii="Times New Roman" w:hAnsi="Times New Roman" w:cs="Times New Roman" w:hint="eastAsia"/>
          <w:sz w:val="20"/>
          <w:szCs w:val="21"/>
        </w:rPr>
        <w:t>Even though the court</w:t>
      </w:r>
      <w:r>
        <w:rPr>
          <w:rFonts w:ascii="Times New Roman" w:hAnsi="Times New Roman" w:cs="Times New Roman"/>
          <w:sz w:val="20"/>
          <w:szCs w:val="21"/>
        </w:rPr>
        <w:t>’</w:t>
      </w:r>
      <w:r>
        <w:rPr>
          <w:rFonts w:ascii="Times New Roman" w:hAnsi="Times New Roman" w:cs="Times New Roman" w:hint="eastAsia"/>
          <w:sz w:val="20"/>
          <w:szCs w:val="21"/>
        </w:rPr>
        <w:t xml:space="preserve">s </w:t>
      </w:r>
      <w:r w:rsidRPr="005F12A7">
        <w:rPr>
          <w:rFonts w:ascii="Times New Roman" w:hAnsi="Times New Roman" w:cs="Times New Roman" w:hint="eastAsia"/>
          <w:sz w:val="20"/>
          <w:szCs w:val="21"/>
        </w:rPr>
        <w:t>wavering attitude</w:t>
      </w:r>
      <w:r w:rsidRPr="005F12A7">
        <w:rPr>
          <w:rFonts w:ascii="Times New Roman" w:hAnsi="Times New Roman" w:cs="Times New Roman"/>
          <w:sz w:val="20"/>
          <w:szCs w:val="21"/>
        </w:rPr>
        <w:t xml:space="preserve"> </w:t>
      </w:r>
      <w:r>
        <w:rPr>
          <w:rFonts w:ascii="Times New Roman" w:hAnsi="Times New Roman" w:cs="Times New Roman" w:hint="eastAsia"/>
          <w:sz w:val="20"/>
          <w:szCs w:val="21"/>
        </w:rPr>
        <w:t xml:space="preserve">towards substantive attitude can cause uncertainty for the </w:t>
      </w:r>
      <w:r>
        <w:rPr>
          <w:rFonts w:ascii="Times New Roman" w:hAnsi="Times New Roman" w:cs="Times New Roman"/>
          <w:sz w:val="20"/>
          <w:szCs w:val="21"/>
        </w:rPr>
        <w:t>authority</w:t>
      </w:r>
      <w:r>
        <w:rPr>
          <w:rFonts w:ascii="Times New Roman" w:hAnsi="Times New Roman" w:cs="Times New Roman" w:hint="eastAsia"/>
          <w:sz w:val="20"/>
          <w:szCs w:val="21"/>
        </w:rPr>
        <w:t xml:space="preserve"> to predict whether a decision would be challenged. </w:t>
      </w:r>
      <w:r w:rsidR="00935747" w:rsidRPr="00EB11DE">
        <w:rPr>
          <w:rFonts w:ascii="Times New Roman" w:hAnsi="Times New Roman" w:cs="Times New Roman"/>
          <w:sz w:val="20"/>
          <w:szCs w:val="21"/>
        </w:rPr>
        <w:t>The rationale behind the court’s reluctance is cogent</w:t>
      </w:r>
      <w:r w:rsidR="009741BD">
        <w:rPr>
          <w:rFonts w:ascii="Times New Roman" w:hAnsi="Times New Roman" w:cs="Times New Roman" w:hint="eastAsia"/>
          <w:sz w:val="20"/>
          <w:szCs w:val="21"/>
        </w:rPr>
        <w:t xml:space="preserve">. It is </w:t>
      </w:r>
      <w:r w:rsidR="009741BD">
        <w:rPr>
          <w:rFonts w:ascii="Times New Roman" w:hAnsi="Times New Roman" w:cs="Times New Roman"/>
          <w:sz w:val="20"/>
          <w:szCs w:val="21"/>
        </w:rPr>
        <w:t>intuitive</w:t>
      </w:r>
      <w:r w:rsidR="009741BD">
        <w:rPr>
          <w:rFonts w:ascii="Times New Roman" w:hAnsi="Times New Roman" w:cs="Times New Roman" w:hint="eastAsia"/>
          <w:sz w:val="20"/>
          <w:szCs w:val="21"/>
        </w:rPr>
        <w:t xml:space="preserve"> under s</w:t>
      </w:r>
      <w:r w:rsidR="009741BD" w:rsidRPr="009741BD">
        <w:rPr>
          <w:rFonts w:ascii="Times New Roman" w:hAnsi="Times New Roman" w:cs="Times New Roman" w:hint="eastAsia"/>
          <w:sz w:val="20"/>
          <w:szCs w:val="21"/>
        </w:rPr>
        <w:t>eparation of power</w:t>
      </w:r>
      <w:r w:rsidR="009741BD">
        <w:rPr>
          <w:rFonts w:ascii="Times New Roman" w:hAnsi="Times New Roman" w:cs="Times New Roman" w:hint="eastAsia"/>
          <w:sz w:val="20"/>
          <w:szCs w:val="21"/>
        </w:rPr>
        <w:t xml:space="preserve"> that t</w:t>
      </w:r>
      <w:r w:rsidR="00D3432C" w:rsidRPr="00EB11DE">
        <w:rPr>
          <w:rFonts w:ascii="Times New Roman" w:hAnsi="Times New Roman" w:cs="Times New Roman"/>
          <w:sz w:val="20"/>
          <w:szCs w:val="21"/>
        </w:rPr>
        <w:t>he g</w:t>
      </w:r>
      <w:r w:rsidR="003847D4" w:rsidRPr="00EB11DE">
        <w:rPr>
          <w:rFonts w:ascii="Times New Roman" w:hAnsi="Times New Roman" w:cs="Times New Roman"/>
          <w:sz w:val="20"/>
          <w:szCs w:val="21"/>
        </w:rPr>
        <w:t xml:space="preserve">overnment or public authority should have freedom to change its </w:t>
      </w:r>
      <w:r w:rsidR="00BA6C00" w:rsidRPr="00EB11DE">
        <w:rPr>
          <w:rFonts w:ascii="Times New Roman" w:hAnsi="Times New Roman" w:cs="Times New Roman"/>
          <w:sz w:val="20"/>
          <w:szCs w:val="21"/>
        </w:rPr>
        <w:t>policy,</w:t>
      </w:r>
      <w:r w:rsidR="003847D4" w:rsidRPr="00EB11DE">
        <w:rPr>
          <w:rFonts w:ascii="Times New Roman" w:hAnsi="Times New Roman" w:cs="Times New Roman"/>
          <w:sz w:val="20"/>
          <w:szCs w:val="21"/>
        </w:rPr>
        <w:t xml:space="preserve"> and the court</w:t>
      </w:r>
      <w:r w:rsidR="00D3432C" w:rsidRPr="00EB11DE">
        <w:rPr>
          <w:rFonts w:ascii="Times New Roman" w:hAnsi="Times New Roman" w:cs="Times New Roman"/>
          <w:sz w:val="20"/>
          <w:szCs w:val="21"/>
        </w:rPr>
        <w:t xml:space="preserve"> should not</w:t>
      </w:r>
      <w:r w:rsidR="003847D4" w:rsidRPr="00EB11DE">
        <w:rPr>
          <w:rFonts w:ascii="Times New Roman" w:hAnsi="Times New Roman" w:cs="Times New Roman"/>
          <w:sz w:val="20"/>
          <w:szCs w:val="21"/>
        </w:rPr>
        <w:t xml:space="preserve"> </w:t>
      </w:r>
      <w:r w:rsidR="00D3432C" w:rsidRPr="00EB11DE">
        <w:rPr>
          <w:rFonts w:ascii="Times New Roman" w:hAnsi="Times New Roman" w:cs="Times New Roman"/>
          <w:sz w:val="20"/>
          <w:szCs w:val="21"/>
        </w:rPr>
        <w:t>interfere with substantive policy decisions, viewing them as the exclusive domain of the executive and legislature</w:t>
      </w:r>
      <w:r w:rsidR="009741BD">
        <w:rPr>
          <w:rFonts w:ascii="Times New Roman" w:hAnsi="Times New Roman" w:cs="Times New Roman" w:hint="eastAsia"/>
          <w:sz w:val="20"/>
          <w:szCs w:val="21"/>
        </w:rPr>
        <w:t>.</w:t>
      </w:r>
      <w:r w:rsidR="00AE68E9">
        <w:rPr>
          <w:rFonts w:ascii="Times New Roman" w:hAnsi="Times New Roman" w:cs="Times New Roman" w:hint="eastAsia"/>
          <w:sz w:val="20"/>
          <w:szCs w:val="21"/>
        </w:rPr>
        <w:t xml:space="preserve"> </w:t>
      </w:r>
      <w:r w:rsidR="009841ED">
        <w:rPr>
          <w:rFonts w:ascii="Times New Roman" w:hAnsi="Times New Roman" w:cs="Times New Roman" w:hint="eastAsia"/>
          <w:sz w:val="20"/>
          <w:szCs w:val="21"/>
        </w:rPr>
        <w:t>Consequently,</w:t>
      </w:r>
      <w:r w:rsidR="00BA6C00">
        <w:rPr>
          <w:rFonts w:ascii="Times New Roman" w:hAnsi="Times New Roman" w:cs="Times New Roman" w:hint="eastAsia"/>
          <w:sz w:val="20"/>
          <w:szCs w:val="21"/>
        </w:rPr>
        <w:t xml:space="preserve"> though with the</w:t>
      </w:r>
      <w:r w:rsidR="00C1665D">
        <w:rPr>
          <w:rFonts w:ascii="Times New Roman" w:hAnsi="Times New Roman" w:cs="Times New Roman" w:hint="eastAsia"/>
          <w:sz w:val="20"/>
          <w:szCs w:val="21"/>
        </w:rPr>
        <w:t xml:space="preserve"> </w:t>
      </w:r>
      <w:r w:rsidR="00C1665D">
        <w:rPr>
          <w:rFonts w:ascii="Times New Roman" w:hAnsi="Times New Roman" w:cs="Times New Roman"/>
          <w:sz w:val="20"/>
          <w:szCs w:val="21"/>
        </w:rPr>
        <w:t>recognition</w:t>
      </w:r>
      <w:r w:rsidR="00C1665D">
        <w:rPr>
          <w:rFonts w:ascii="Times New Roman" w:hAnsi="Times New Roman" w:cs="Times New Roman" w:hint="eastAsia"/>
          <w:sz w:val="20"/>
          <w:szCs w:val="21"/>
        </w:rPr>
        <w:t xml:space="preserve"> of such ground, the court is not willing to apply it </w:t>
      </w:r>
      <w:r w:rsidR="005900B2">
        <w:rPr>
          <w:rFonts w:ascii="Times New Roman" w:hAnsi="Times New Roman" w:cs="Times New Roman" w:hint="eastAsia"/>
          <w:sz w:val="20"/>
          <w:szCs w:val="21"/>
        </w:rPr>
        <w:t>in a broad way</w:t>
      </w:r>
      <w:r w:rsidR="00C1665D">
        <w:rPr>
          <w:rFonts w:ascii="Times New Roman" w:hAnsi="Times New Roman" w:cs="Times New Roman" w:hint="eastAsia"/>
          <w:sz w:val="20"/>
          <w:szCs w:val="21"/>
        </w:rPr>
        <w:t>, especially</w:t>
      </w:r>
      <w:r w:rsidR="00EB11DE" w:rsidRPr="00EB11DE">
        <w:rPr>
          <w:rFonts w:ascii="Times New Roman" w:hAnsi="Times New Roman" w:cs="Times New Roman"/>
          <w:sz w:val="20"/>
          <w:szCs w:val="21"/>
        </w:rPr>
        <w:t xml:space="preserve"> in </w:t>
      </w:r>
      <w:r w:rsidR="00EB11DE">
        <w:rPr>
          <w:rFonts w:ascii="Times New Roman" w:hAnsi="Times New Roman" w:cs="Times New Roman"/>
          <w:sz w:val="20"/>
          <w:szCs w:val="21"/>
        </w:rPr>
        <w:t>macro</w:t>
      </w:r>
      <w:r w:rsidR="00EB11DE">
        <w:rPr>
          <w:rFonts w:ascii="Times New Roman" w:hAnsi="Times New Roman" w:cs="Times New Roman" w:hint="eastAsia"/>
          <w:sz w:val="20"/>
          <w:szCs w:val="21"/>
        </w:rPr>
        <w:t>-</w:t>
      </w:r>
      <w:r w:rsidR="00EB11DE">
        <w:rPr>
          <w:rFonts w:ascii="Times New Roman" w:hAnsi="Times New Roman" w:cs="Times New Roman"/>
          <w:sz w:val="20"/>
          <w:szCs w:val="21"/>
        </w:rPr>
        <w:t>economic</w:t>
      </w:r>
      <w:r w:rsidR="00EB11DE">
        <w:rPr>
          <w:rFonts w:ascii="Times New Roman" w:hAnsi="Times New Roman" w:cs="Times New Roman" w:hint="eastAsia"/>
          <w:sz w:val="20"/>
          <w:szCs w:val="21"/>
        </w:rPr>
        <w:t xml:space="preserve">/political </w:t>
      </w:r>
      <w:r w:rsidR="004B0F33">
        <w:rPr>
          <w:rFonts w:ascii="Times New Roman" w:hAnsi="Times New Roman" w:cs="Times New Roman"/>
          <w:sz w:val="20"/>
          <w:szCs w:val="21"/>
        </w:rPr>
        <w:t xml:space="preserve">areas </w:t>
      </w:r>
      <w:r w:rsidR="004B0F33">
        <w:rPr>
          <w:rFonts w:ascii="Times New Roman" w:hAnsi="Times New Roman" w:cs="Times New Roman" w:hint="eastAsia"/>
          <w:sz w:val="20"/>
          <w:szCs w:val="21"/>
        </w:rPr>
        <w:t xml:space="preserve">which the authority has a greater say </w:t>
      </w:r>
      <w:r w:rsidR="004B0F33">
        <w:rPr>
          <w:rFonts w:ascii="Times New Roman" w:hAnsi="Times New Roman" w:cs="Times New Roman"/>
          <w:sz w:val="20"/>
          <w:szCs w:val="21"/>
        </w:rPr>
        <w:t>(</w:t>
      </w:r>
      <w:r w:rsidR="00EB11DE" w:rsidRPr="00EB11DE">
        <w:rPr>
          <w:rFonts w:ascii="Times New Roman" w:hAnsi="Times New Roman" w:cs="Times New Roman" w:hint="eastAsia"/>
          <w:i/>
          <w:iCs/>
          <w:sz w:val="20"/>
          <w:szCs w:val="21"/>
        </w:rPr>
        <w:t>R v Secretary of State for Education and Employment, Ex p Begbie</w:t>
      </w:r>
      <w:r w:rsidR="00EB11DE" w:rsidRPr="00EB11DE">
        <w:rPr>
          <w:rFonts w:ascii="Times New Roman" w:hAnsi="Times New Roman" w:cs="Times New Roman" w:hint="eastAsia"/>
          <w:sz w:val="20"/>
          <w:szCs w:val="21"/>
        </w:rPr>
        <w:t xml:space="preserve"> [2000] 1 WLR 1115, 1131</w:t>
      </w:r>
      <w:r w:rsidR="00EB11DE" w:rsidRPr="00EB11DE">
        <w:rPr>
          <w:rStyle w:val="af4"/>
          <w:rFonts w:ascii="Times New Roman" w:hAnsi="Times New Roman" w:cs="Times New Roman"/>
          <w:sz w:val="20"/>
          <w:szCs w:val="21"/>
        </w:rPr>
        <w:footnoteReference w:id="9"/>
      </w:r>
      <w:r w:rsidR="009C1C68" w:rsidRPr="001A67D3">
        <w:rPr>
          <w:rFonts w:ascii="Times New Roman" w:hAnsi="Times New Roman" w:cs="Times New Roman" w:hint="eastAsia"/>
          <w:sz w:val="20"/>
          <w:szCs w:val="21"/>
        </w:rPr>
        <w:t>)</w:t>
      </w:r>
      <w:r w:rsidR="00F32FC1">
        <w:rPr>
          <w:rFonts w:ascii="Times New Roman" w:hAnsi="Times New Roman" w:cs="Times New Roman" w:hint="eastAsia"/>
          <w:sz w:val="20"/>
          <w:szCs w:val="21"/>
        </w:rPr>
        <w:t>.</w:t>
      </w:r>
    </w:p>
    <w:p w14:paraId="366F40F2" w14:textId="6C3C225C" w:rsidR="005B714B" w:rsidRPr="005B714B" w:rsidRDefault="005B714B" w:rsidP="00D518F5">
      <w:pPr>
        <w:rPr>
          <w:rFonts w:ascii="Times New Roman" w:hAnsi="Times New Roman" w:cs="Times New Roman"/>
          <w:sz w:val="20"/>
          <w:szCs w:val="21"/>
        </w:rPr>
      </w:pPr>
      <w:r>
        <w:rPr>
          <w:rFonts w:ascii="Times New Roman" w:hAnsi="Times New Roman" w:cs="Times New Roman"/>
          <w:sz w:val="20"/>
          <w:szCs w:val="21"/>
        </w:rPr>
        <w:t xml:space="preserve">Another uncertainty </w:t>
      </w:r>
      <w:r>
        <w:rPr>
          <w:rFonts w:ascii="Times New Roman" w:hAnsi="Times New Roman" w:cs="Times New Roman" w:hint="eastAsia"/>
          <w:sz w:val="20"/>
          <w:szCs w:val="21"/>
        </w:rPr>
        <w:t xml:space="preserve">involved in </w:t>
      </w:r>
      <w:r>
        <w:rPr>
          <w:rFonts w:ascii="Times New Roman" w:hAnsi="Times New Roman" w:cs="Times New Roman"/>
          <w:sz w:val="20"/>
          <w:szCs w:val="21"/>
        </w:rPr>
        <w:t>legitimate</w:t>
      </w:r>
      <w:r>
        <w:rPr>
          <w:rFonts w:ascii="Times New Roman" w:hAnsi="Times New Roman" w:cs="Times New Roman" w:hint="eastAsia"/>
          <w:sz w:val="20"/>
          <w:szCs w:val="21"/>
        </w:rPr>
        <w:t xml:space="preserve"> </w:t>
      </w:r>
      <w:r w:rsidR="005F12A7">
        <w:rPr>
          <w:rFonts w:ascii="Times New Roman" w:hAnsi="Times New Roman" w:cs="Times New Roman"/>
          <w:sz w:val="20"/>
          <w:szCs w:val="21"/>
        </w:rPr>
        <w:t>expectations</w:t>
      </w:r>
      <w:r>
        <w:rPr>
          <w:rFonts w:ascii="Times New Roman" w:hAnsi="Times New Roman" w:cs="Times New Roman" w:hint="eastAsia"/>
          <w:sz w:val="20"/>
          <w:szCs w:val="21"/>
        </w:rPr>
        <w:t xml:space="preserve"> is the </w:t>
      </w:r>
      <w:r w:rsidRPr="008307A5">
        <w:rPr>
          <w:rFonts w:ascii="Times New Roman" w:hAnsi="Times New Roman" w:cs="Times New Roman" w:hint="eastAsia"/>
          <w:sz w:val="20"/>
          <w:szCs w:val="21"/>
        </w:rPr>
        <w:t>standard of review</w:t>
      </w:r>
      <w:r w:rsidR="00422407">
        <w:rPr>
          <w:rFonts w:ascii="Times New Roman" w:hAnsi="Times New Roman" w:cs="Times New Roman" w:hint="eastAsia"/>
          <w:sz w:val="20"/>
          <w:szCs w:val="21"/>
        </w:rPr>
        <w:t xml:space="preserve">, which </w:t>
      </w:r>
      <w:r w:rsidRPr="008307A5">
        <w:rPr>
          <w:rFonts w:ascii="Times New Roman" w:hAnsi="Times New Roman" w:cs="Times New Roman"/>
          <w:sz w:val="20"/>
          <w:szCs w:val="21"/>
        </w:rPr>
        <w:t>determines</w:t>
      </w:r>
      <w:r w:rsidRPr="008307A5">
        <w:rPr>
          <w:rFonts w:ascii="Times New Roman" w:hAnsi="Times New Roman" w:cs="Times New Roman" w:hint="eastAsia"/>
          <w:sz w:val="20"/>
          <w:szCs w:val="21"/>
        </w:rPr>
        <w:t xml:space="preserve"> </w:t>
      </w:r>
      <w:r w:rsidR="00A1337B">
        <w:rPr>
          <w:rFonts w:ascii="Times New Roman" w:hAnsi="Times New Roman" w:cs="Times New Roman" w:hint="eastAsia"/>
          <w:sz w:val="20"/>
          <w:szCs w:val="21"/>
        </w:rPr>
        <w:t>to what extent and how</w:t>
      </w:r>
      <w:r w:rsidRPr="008307A5">
        <w:rPr>
          <w:rFonts w:ascii="Times New Roman" w:hAnsi="Times New Roman" w:cs="Times New Roman" w:hint="eastAsia"/>
          <w:sz w:val="20"/>
          <w:szCs w:val="21"/>
        </w:rPr>
        <w:t xml:space="preserve"> the authority can resile from </w:t>
      </w:r>
      <w:r>
        <w:rPr>
          <w:rFonts w:ascii="Times New Roman" w:hAnsi="Times New Roman" w:cs="Times New Roman"/>
          <w:sz w:val="20"/>
          <w:szCs w:val="21"/>
        </w:rPr>
        <w:t>publi</w:t>
      </w:r>
      <w:r>
        <w:rPr>
          <w:rFonts w:ascii="Times New Roman" w:hAnsi="Times New Roman" w:cs="Times New Roman" w:hint="eastAsia"/>
          <w:sz w:val="20"/>
          <w:szCs w:val="21"/>
        </w:rPr>
        <w:t xml:space="preserve">c </w:t>
      </w:r>
      <w:r w:rsidR="00422407" w:rsidRPr="008307A5">
        <w:rPr>
          <w:rFonts w:ascii="Times New Roman" w:hAnsi="Times New Roman" w:cs="Times New Roman"/>
          <w:sz w:val="20"/>
          <w:szCs w:val="21"/>
        </w:rPr>
        <w:t>representations</w:t>
      </w:r>
      <w:r w:rsidR="00422407">
        <w:rPr>
          <w:rFonts w:ascii="Times New Roman" w:hAnsi="Times New Roman" w:cs="Times New Roman" w:hint="eastAsia"/>
          <w:sz w:val="20"/>
          <w:szCs w:val="21"/>
        </w:rPr>
        <w:t xml:space="preserve">. </w:t>
      </w:r>
      <w:r w:rsidRPr="006B2C5C">
        <w:rPr>
          <w:rFonts w:ascii="Times New Roman" w:hAnsi="Times New Roman" w:cs="Times New Roman" w:hint="eastAsia"/>
          <w:sz w:val="20"/>
          <w:szCs w:val="21"/>
        </w:rPr>
        <w:t>The judgment</w:t>
      </w:r>
      <w:r>
        <w:rPr>
          <w:rFonts w:ascii="Times New Roman" w:hAnsi="Times New Roman" w:cs="Times New Roman" w:hint="eastAsia"/>
          <w:sz w:val="20"/>
          <w:szCs w:val="21"/>
        </w:rPr>
        <w:t xml:space="preserve"> of </w:t>
      </w:r>
      <w:r w:rsidRPr="00EB11DE">
        <w:rPr>
          <w:rFonts w:ascii="Times New Roman" w:hAnsi="Times New Roman" w:cs="Times New Roman"/>
          <w:i/>
          <w:iCs/>
          <w:sz w:val="20"/>
          <w:szCs w:val="21"/>
        </w:rPr>
        <w:t>Coughlan</w:t>
      </w:r>
      <w:r w:rsidRPr="006B2C5C">
        <w:rPr>
          <w:rFonts w:ascii="Times New Roman" w:hAnsi="Times New Roman" w:cs="Times New Roman" w:hint="eastAsia"/>
          <w:sz w:val="20"/>
          <w:szCs w:val="21"/>
        </w:rPr>
        <w:t xml:space="preserve"> does not explicitly resolve whether Wednesbury unreasonableness</w:t>
      </w:r>
      <w:r>
        <w:rPr>
          <w:rStyle w:val="af4"/>
          <w:rFonts w:ascii="Times New Roman" w:hAnsi="Times New Roman" w:cs="Times New Roman"/>
          <w:sz w:val="20"/>
          <w:szCs w:val="21"/>
        </w:rPr>
        <w:footnoteReference w:id="10"/>
      </w:r>
      <w:r w:rsidRPr="006B2C5C">
        <w:rPr>
          <w:rFonts w:ascii="Times New Roman" w:hAnsi="Times New Roman" w:cs="Times New Roman" w:hint="eastAsia"/>
          <w:sz w:val="20"/>
          <w:szCs w:val="21"/>
        </w:rPr>
        <w:t xml:space="preserve"> or proportionality is the appropriate standard. However, it leans towards a flexible approach, where the court assesses the "overriding public interest" to justify the departure (para</w:t>
      </w:r>
      <w:r>
        <w:rPr>
          <w:rFonts w:ascii="Times New Roman" w:hAnsi="Times New Roman" w:cs="Times New Roman" w:hint="eastAsia"/>
          <w:sz w:val="20"/>
          <w:szCs w:val="21"/>
        </w:rPr>
        <w:t>.</w:t>
      </w:r>
      <w:r w:rsidRPr="006B2C5C">
        <w:rPr>
          <w:rFonts w:ascii="Times New Roman" w:hAnsi="Times New Roman" w:cs="Times New Roman" w:hint="eastAsia"/>
          <w:sz w:val="20"/>
          <w:szCs w:val="21"/>
        </w:rPr>
        <w:t>60</w:t>
      </w:r>
      <w:r w:rsidRPr="006B2C5C">
        <w:rPr>
          <w:rFonts w:ascii="Times New Roman" w:hAnsi="Times New Roman" w:cs="Times New Roman" w:hint="eastAsia"/>
          <w:sz w:val="20"/>
          <w:szCs w:val="21"/>
        </w:rPr>
        <w:t>–</w:t>
      </w:r>
      <w:r w:rsidRPr="006B2C5C">
        <w:rPr>
          <w:rFonts w:ascii="Times New Roman" w:hAnsi="Times New Roman" w:cs="Times New Roman" w:hint="eastAsia"/>
          <w:sz w:val="20"/>
          <w:szCs w:val="21"/>
        </w:rPr>
        <w:t>64). This resembles a proportionality-like analysis, albeit without strict adherence to the structured proportionality test used in human rights cases.</w:t>
      </w:r>
      <w:r>
        <w:rPr>
          <w:rFonts w:ascii="Times New Roman" w:hAnsi="Times New Roman" w:cs="Times New Roman"/>
          <w:sz w:val="20"/>
          <w:szCs w:val="21"/>
        </w:rPr>
        <w:t xml:space="preserve"> </w:t>
      </w:r>
    </w:p>
    <w:p w14:paraId="71C94C09" w14:textId="47AF17AB" w:rsidR="001A67D3" w:rsidRPr="005B714B" w:rsidRDefault="001A67D3" w:rsidP="00D518F5">
      <w:pPr>
        <w:rPr>
          <w:rFonts w:ascii="Times New Roman" w:hAnsi="Times New Roman" w:cs="Times New Roman"/>
          <w:sz w:val="20"/>
          <w:szCs w:val="21"/>
        </w:rPr>
      </w:pPr>
      <w:r>
        <w:rPr>
          <w:rFonts w:ascii="Times New Roman" w:hAnsi="Times New Roman" w:cs="Times New Roman"/>
          <w:sz w:val="20"/>
          <w:szCs w:val="21"/>
        </w:rPr>
        <w:t xml:space="preserve">Having the </w:t>
      </w:r>
      <w:r w:rsidRPr="001A67D3">
        <w:rPr>
          <w:rFonts w:ascii="Times New Roman" w:hAnsi="Times New Roman" w:cs="Times New Roman" w:hint="eastAsia"/>
          <w:sz w:val="20"/>
          <w:szCs w:val="21"/>
        </w:rPr>
        <w:t>continuing controversy</w:t>
      </w:r>
      <w:r>
        <w:rPr>
          <w:rFonts w:ascii="Times New Roman" w:hAnsi="Times New Roman" w:cs="Times New Roman"/>
          <w:sz w:val="20"/>
          <w:szCs w:val="21"/>
        </w:rPr>
        <w:t xml:space="preserve"> in mind, the court in </w:t>
      </w:r>
      <w:r w:rsidRPr="001A67D3">
        <w:rPr>
          <w:rFonts w:ascii="Times New Roman" w:hAnsi="Times New Roman" w:cs="Times New Roman" w:hint="eastAsia"/>
          <w:i/>
          <w:iCs/>
          <w:sz w:val="20"/>
          <w:szCs w:val="21"/>
        </w:rPr>
        <w:t xml:space="preserve">The United Policyholders Group and others v </w:t>
      </w:r>
      <w:r w:rsidRPr="001A67D3">
        <w:rPr>
          <w:rFonts w:ascii="Times New Roman" w:hAnsi="Times New Roman" w:cs="Times New Roman" w:hint="eastAsia"/>
          <w:i/>
          <w:iCs/>
          <w:sz w:val="20"/>
          <w:szCs w:val="21"/>
        </w:rPr>
        <w:lastRenderedPageBreak/>
        <w:t>The Attorney General of Trinidad and Tobago (Trinidad and Tobago)</w:t>
      </w:r>
      <w:r>
        <w:rPr>
          <w:rStyle w:val="af4"/>
          <w:rFonts w:ascii="Times New Roman" w:hAnsi="Times New Roman" w:cs="Times New Roman"/>
          <w:sz w:val="20"/>
          <w:szCs w:val="21"/>
        </w:rPr>
        <w:footnoteReference w:id="11"/>
      </w:r>
      <w:r w:rsidR="005B714B">
        <w:rPr>
          <w:rFonts w:ascii="Times New Roman" w:hAnsi="Times New Roman" w:cs="Times New Roman"/>
          <w:sz w:val="20"/>
          <w:szCs w:val="21"/>
        </w:rPr>
        <w:t xml:space="preserve">review the principle set out in </w:t>
      </w:r>
      <w:r w:rsidR="005B714B" w:rsidRPr="00EB11DE">
        <w:rPr>
          <w:rFonts w:ascii="Times New Roman" w:hAnsi="Times New Roman" w:cs="Times New Roman"/>
          <w:i/>
          <w:iCs/>
          <w:sz w:val="20"/>
          <w:szCs w:val="21"/>
        </w:rPr>
        <w:t>Coughlan</w:t>
      </w:r>
      <w:r w:rsidR="005B714B">
        <w:rPr>
          <w:rFonts w:ascii="Times New Roman" w:hAnsi="Times New Roman" w:cs="Times New Roman"/>
          <w:i/>
          <w:iCs/>
          <w:sz w:val="20"/>
          <w:szCs w:val="21"/>
        </w:rPr>
        <w:t xml:space="preserve"> </w:t>
      </w:r>
      <w:r w:rsidR="005B714B" w:rsidRPr="005B714B">
        <w:rPr>
          <w:rFonts w:ascii="Times New Roman" w:hAnsi="Times New Roman" w:cs="Times New Roman"/>
          <w:sz w:val="20"/>
          <w:szCs w:val="21"/>
        </w:rPr>
        <w:t>and conclude that</w:t>
      </w:r>
      <w:r w:rsidR="005B714B" w:rsidRPr="005B714B">
        <w:rPr>
          <w:rFonts w:hint="eastAsia"/>
        </w:rPr>
        <w:t xml:space="preserve"> </w:t>
      </w:r>
      <w:r w:rsidR="005B714B">
        <w:t>“</w:t>
      </w:r>
      <w:r w:rsidR="005B714B" w:rsidRPr="005B714B">
        <w:rPr>
          <w:rFonts w:ascii="Times New Roman" w:hAnsi="Times New Roman" w:cs="Times New Roman" w:hint="eastAsia"/>
          <w:sz w:val="20"/>
          <w:szCs w:val="21"/>
        </w:rPr>
        <w:t xml:space="preserve">In summary, the trend of modern authority, judicial and academic, </w:t>
      </w:r>
      <w:proofErr w:type="spellStart"/>
      <w:r w:rsidR="005B714B" w:rsidRPr="005B714B">
        <w:rPr>
          <w:rFonts w:ascii="Times New Roman" w:hAnsi="Times New Roman" w:cs="Times New Roman" w:hint="eastAsia"/>
          <w:sz w:val="20"/>
          <w:szCs w:val="21"/>
        </w:rPr>
        <w:t>favours</w:t>
      </w:r>
      <w:proofErr w:type="spellEnd"/>
      <w:r w:rsidR="005B714B" w:rsidRPr="005B714B">
        <w:rPr>
          <w:rFonts w:ascii="Times New Roman" w:hAnsi="Times New Roman" w:cs="Times New Roman" w:hint="eastAsia"/>
          <w:sz w:val="20"/>
          <w:szCs w:val="21"/>
        </w:rPr>
        <w:t xml:space="preserve"> a narrow interpretation of the Coughlan principle, which can be simply stated.</w:t>
      </w:r>
      <w:r w:rsidR="005B714B">
        <w:rPr>
          <w:rFonts w:ascii="Times New Roman" w:hAnsi="Times New Roman" w:cs="Times New Roman"/>
          <w:sz w:val="20"/>
          <w:szCs w:val="21"/>
        </w:rPr>
        <w:t>”</w:t>
      </w:r>
      <w:r w:rsidR="005B714B">
        <w:rPr>
          <w:rStyle w:val="af4"/>
          <w:rFonts w:ascii="Times New Roman" w:hAnsi="Times New Roman" w:cs="Times New Roman"/>
          <w:sz w:val="20"/>
          <w:szCs w:val="21"/>
        </w:rPr>
        <w:footnoteReference w:id="12"/>
      </w:r>
      <w:r w:rsidR="00E86C5C">
        <w:rPr>
          <w:rFonts w:ascii="Times New Roman" w:hAnsi="Times New Roman" w:cs="Times New Roman" w:hint="eastAsia"/>
          <w:sz w:val="20"/>
          <w:szCs w:val="21"/>
        </w:rPr>
        <w:t>I believe this reveals the court</w:t>
      </w:r>
      <w:r w:rsidR="00E86C5C">
        <w:rPr>
          <w:rFonts w:ascii="Times New Roman" w:hAnsi="Times New Roman" w:cs="Times New Roman"/>
          <w:sz w:val="20"/>
          <w:szCs w:val="21"/>
        </w:rPr>
        <w:t>’</w:t>
      </w:r>
      <w:r w:rsidR="00E86C5C">
        <w:rPr>
          <w:rFonts w:ascii="Times New Roman" w:hAnsi="Times New Roman" w:cs="Times New Roman" w:hint="eastAsia"/>
          <w:sz w:val="20"/>
          <w:szCs w:val="21"/>
        </w:rPr>
        <w:t xml:space="preserve">s inclination to weaken the influence of </w:t>
      </w:r>
      <w:r w:rsidR="00E86C5C" w:rsidRPr="00EB11DE">
        <w:rPr>
          <w:rFonts w:ascii="Times New Roman" w:hAnsi="Times New Roman" w:cs="Times New Roman"/>
          <w:i/>
          <w:iCs/>
          <w:sz w:val="20"/>
          <w:szCs w:val="21"/>
        </w:rPr>
        <w:t>Coughlan</w:t>
      </w:r>
      <w:r w:rsidR="00E86C5C">
        <w:rPr>
          <w:rFonts w:ascii="Times New Roman" w:hAnsi="Times New Roman" w:cs="Times New Roman" w:hint="eastAsia"/>
          <w:sz w:val="20"/>
          <w:szCs w:val="21"/>
        </w:rPr>
        <w:t xml:space="preserve"> to avoid potential </w:t>
      </w:r>
      <w:r w:rsidR="00E86C5C">
        <w:rPr>
          <w:rFonts w:ascii="Times New Roman" w:hAnsi="Times New Roman" w:cs="Times New Roman"/>
          <w:sz w:val="20"/>
          <w:szCs w:val="21"/>
        </w:rPr>
        <w:t>uncertainty</w:t>
      </w:r>
      <w:r w:rsidR="00E86C5C">
        <w:rPr>
          <w:rFonts w:ascii="Times New Roman" w:hAnsi="Times New Roman" w:cs="Times New Roman" w:hint="eastAsia"/>
          <w:sz w:val="20"/>
          <w:szCs w:val="21"/>
        </w:rPr>
        <w:t xml:space="preserve"> caused by the decision. </w:t>
      </w:r>
      <w:r w:rsidR="00A83436">
        <w:rPr>
          <w:rFonts w:ascii="Times New Roman" w:hAnsi="Times New Roman" w:cs="Times New Roman" w:hint="eastAsia"/>
          <w:sz w:val="20"/>
          <w:szCs w:val="21"/>
        </w:rPr>
        <w:t>The same inclination can also be found by</w:t>
      </w:r>
      <w:r w:rsidR="002517D5" w:rsidRPr="002517D5">
        <w:rPr>
          <w:rFonts w:ascii="Times New Roman" w:hAnsi="Times New Roman" w:cs="Times New Roman" w:hint="eastAsia"/>
          <w:sz w:val="20"/>
          <w:szCs w:val="21"/>
        </w:rPr>
        <w:t xml:space="preserve"> Laws LJ </w:t>
      </w:r>
      <w:r w:rsidR="00E10BC2">
        <w:rPr>
          <w:rFonts w:ascii="Times New Roman" w:hAnsi="Times New Roman" w:cs="Times New Roman" w:hint="eastAsia"/>
          <w:sz w:val="20"/>
          <w:szCs w:val="21"/>
        </w:rPr>
        <w:t>stated</w:t>
      </w:r>
      <w:r w:rsidR="002517D5" w:rsidRPr="002517D5">
        <w:rPr>
          <w:rFonts w:ascii="Times New Roman" w:hAnsi="Times New Roman" w:cs="Times New Roman" w:hint="eastAsia"/>
          <w:sz w:val="20"/>
          <w:szCs w:val="21"/>
        </w:rPr>
        <w:t xml:space="preserve"> in </w:t>
      </w:r>
      <w:r w:rsidR="002517D5" w:rsidRPr="00E10BC2">
        <w:rPr>
          <w:rFonts w:ascii="Times New Roman" w:hAnsi="Times New Roman" w:cs="Times New Roman" w:hint="eastAsia"/>
          <w:i/>
          <w:iCs/>
          <w:sz w:val="20"/>
          <w:szCs w:val="21"/>
        </w:rPr>
        <w:t>Begbie</w:t>
      </w:r>
      <w:r w:rsidR="004515D8">
        <w:rPr>
          <w:rFonts w:ascii="Times New Roman" w:hAnsi="Times New Roman" w:cs="Times New Roman" w:hint="eastAsia"/>
          <w:sz w:val="20"/>
          <w:szCs w:val="21"/>
        </w:rPr>
        <w:t>. T</w:t>
      </w:r>
      <w:r w:rsidR="002517D5" w:rsidRPr="002517D5">
        <w:rPr>
          <w:rFonts w:ascii="Times New Roman" w:hAnsi="Times New Roman" w:cs="Times New Roman" w:hint="eastAsia"/>
          <w:sz w:val="20"/>
          <w:szCs w:val="21"/>
        </w:rPr>
        <w:t xml:space="preserve">he facts in Coughlan were seen by the court as </w:t>
      </w:r>
      <w:r w:rsidR="002517D5" w:rsidRPr="002517D5">
        <w:rPr>
          <w:rFonts w:ascii="Times New Roman" w:hAnsi="Times New Roman" w:cs="Times New Roman" w:hint="eastAsia"/>
          <w:sz w:val="20"/>
          <w:szCs w:val="21"/>
        </w:rPr>
        <w:t>“</w:t>
      </w:r>
      <w:r w:rsidR="002517D5" w:rsidRPr="002517D5">
        <w:rPr>
          <w:rFonts w:ascii="Times New Roman" w:hAnsi="Times New Roman" w:cs="Times New Roman" w:hint="eastAsia"/>
          <w:sz w:val="20"/>
          <w:szCs w:val="21"/>
        </w:rPr>
        <w:t>discrete and limited</w:t>
      </w:r>
      <w:r w:rsidR="002517D5" w:rsidRPr="002517D5">
        <w:rPr>
          <w:rFonts w:ascii="Times New Roman" w:hAnsi="Times New Roman" w:cs="Times New Roman" w:hint="eastAsia"/>
          <w:sz w:val="20"/>
          <w:szCs w:val="21"/>
        </w:rPr>
        <w:t>”</w:t>
      </w:r>
      <w:r w:rsidR="002517D5" w:rsidRPr="002517D5">
        <w:rPr>
          <w:rFonts w:ascii="Times New Roman" w:hAnsi="Times New Roman" w:cs="Times New Roman" w:hint="eastAsia"/>
          <w:sz w:val="20"/>
          <w:szCs w:val="21"/>
        </w:rPr>
        <w:t xml:space="preserve"> raising </w:t>
      </w:r>
      <w:r w:rsidR="002517D5" w:rsidRPr="002517D5">
        <w:rPr>
          <w:rFonts w:ascii="Times New Roman" w:hAnsi="Times New Roman" w:cs="Times New Roman" w:hint="eastAsia"/>
          <w:sz w:val="20"/>
          <w:szCs w:val="21"/>
        </w:rPr>
        <w:t>“</w:t>
      </w:r>
      <w:r w:rsidR="002517D5" w:rsidRPr="002517D5">
        <w:rPr>
          <w:rFonts w:ascii="Times New Roman" w:hAnsi="Times New Roman" w:cs="Times New Roman" w:hint="eastAsia"/>
          <w:sz w:val="20"/>
          <w:szCs w:val="21"/>
        </w:rPr>
        <w:t>no wide-ranging issues of general policy</w:t>
      </w:r>
      <w:r w:rsidR="002517D5" w:rsidRPr="002517D5">
        <w:rPr>
          <w:rFonts w:ascii="Times New Roman" w:hAnsi="Times New Roman" w:cs="Times New Roman" w:hint="eastAsia"/>
          <w:sz w:val="20"/>
          <w:szCs w:val="21"/>
        </w:rPr>
        <w:t>”</w:t>
      </w:r>
      <w:r w:rsidR="002517D5" w:rsidRPr="002517D5">
        <w:rPr>
          <w:rFonts w:ascii="Times New Roman" w:hAnsi="Times New Roman" w:cs="Times New Roman" w:hint="eastAsia"/>
          <w:sz w:val="20"/>
          <w:szCs w:val="21"/>
        </w:rPr>
        <w:t>.</w:t>
      </w:r>
      <w:r w:rsidR="002517D5">
        <w:rPr>
          <w:rStyle w:val="af4"/>
          <w:rFonts w:ascii="Times New Roman" w:hAnsi="Times New Roman" w:cs="Times New Roman"/>
          <w:sz w:val="20"/>
          <w:szCs w:val="21"/>
        </w:rPr>
        <w:footnoteReference w:id="13"/>
      </w:r>
    </w:p>
    <w:p w14:paraId="3DC16A04" w14:textId="089AC71C" w:rsidR="006B2C5C" w:rsidRDefault="00A1337B" w:rsidP="008834AD">
      <w:pPr>
        <w:rPr>
          <w:rFonts w:ascii="Times New Roman" w:hAnsi="Times New Roman" w:cs="Times New Roman"/>
          <w:sz w:val="20"/>
          <w:szCs w:val="21"/>
        </w:rPr>
      </w:pPr>
      <w:r>
        <w:rPr>
          <w:rFonts w:ascii="Times New Roman" w:hAnsi="Times New Roman" w:cs="Times New Roman"/>
          <w:sz w:val="20"/>
          <w:szCs w:val="21"/>
        </w:rPr>
        <w:t>Therefore</w:t>
      </w:r>
      <w:r>
        <w:rPr>
          <w:rFonts w:ascii="Times New Roman" w:hAnsi="Times New Roman" w:cs="Times New Roman" w:hint="eastAsia"/>
          <w:sz w:val="20"/>
          <w:szCs w:val="21"/>
        </w:rPr>
        <w:t>, f</w:t>
      </w:r>
      <w:r w:rsidR="00604DE7" w:rsidRPr="00604DE7">
        <w:rPr>
          <w:rFonts w:ascii="Times New Roman" w:hAnsi="Times New Roman" w:cs="Times New Roman" w:hint="eastAsia"/>
          <w:sz w:val="20"/>
          <w:szCs w:val="21"/>
        </w:rPr>
        <w:t xml:space="preserve">ortunately, </w:t>
      </w:r>
      <w:r w:rsidR="00604DE7">
        <w:rPr>
          <w:rFonts w:ascii="Times New Roman" w:hAnsi="Times New Roman" w:cs="Times New Roman" w:hint="eastAsia"/>
          <w:sz w:val="20"/>
          <w:szCs w:val="21"/>
        </w:rPr>
        <w:t xml:space="preserve">it seems that </w:t>
      </w:r>
      <w:proofErr w:type="gramStart"/>
      <w:r w:rsidR="00604DE7">
        <w:rPr>
          <w:rFonts w:ascii="Times New Roman" w:hAnsi="Times New Roman" w:cs="Times New Roman" w:hint="eastAsia"/>
          <w:sz w:val="20"/>
          <w:szCs w:val="21"/>
        </w:rPr>
        <w:t>this uncertainties</w:t>
      </w:r>
      <w:proofErr w:type="gramEnd"/>
      <w:r w:rsidR="00604DE7">
        <w:rPr>
          <w:rFonts w:ascii="Times New Roman" w:hAnsi="Times New Roman" w:cs="Times New Roman" w:hint="eastAsia"/>
          <w:sz w:val="20"/>
          <w:szCs w:val="21"/>
        </w:rPr>
        <w:t xml:space="preserve"> have not been proved problematic</w:t>
      </w:r>
      <w:r w:rsidR="00345D20">
        <w:rPr>
          <w:rFonts w:ascii="Times New Roman" w:hAnsi="Times New Roman" w:cs="Times New Roman" w:hint="eastAsia"/>
          <w:sz w:val="20"/>
          <w:szCs w:val="21"/>
        </w:rPr>
        <w:t>, or at least</w:t>
      </w:r>
      <w:r w:rsidR="00EF5148">
        <w:rPr>
          <w:rFonts w:ascii="Times New Roman" w:hAnsi="Times New Roman" w:cs="Times New Roman" w:hint="eastAsia"/>
          <w:sz w:val="20"/>
          <w:szCs w:val="21"/>
        </w:rPr>
        <w:t xml:space="preserve"> </w:t>
      </w:r>
      <w:r w:rsidR="00EF5148" w:rsidRPr="00EF5148">
        <w:rPr>
          <w:rFonts w:ascii="Times New Roman" w:hAnsi="Times New Roman" w:cs="Times New Roman" w:hint="eastAsia"/>
          <w:sz w:val="20"/>
          <w:szCs w:val="21"/>
        </w:rPr>
        <w:t>these uncertainties have been diminished</w:t>
      </w:r>
      <w:r w:rsidR="00345D20">
        <w:rPr>
          <w:rFonts w:ascii="Times New Roman" w:hAnsi="Times New Roman" w:cs="Times New Roman" w:hint="eastAsia"/>
          <w:sz w:val="20"/>
          <w:szCs w:val="21"/>
        </w:rPr>
        <w:t xml:space="preserve"> by the court</w:t>
      </w:r>
      <w:r w:rsidR="00345D20">
        <w:rPr>
          <w:rFonts w:ascii="Times New Roman" w:hAnsi="Times New Roman" w:cs="Times New Roman"/>
          <w:sz w:val="20"/>
          <w:szCs w:val="21"/>
        </w:rPr>
        <w:t>’</w:t>
      </w:r>
      <w:r w:rsidR="00345D20">
        <w:rPr>
          <w:rFonts w:ascii="Times New Roman" w:hAnsi="Times New Roman" w:cs="Times New Roman" w:hint="eastAsia"/>
          <w:sz w:val="20"/>
          <w:szCs w:val="21"/>
        </w:rPr>
        <w:t>s narrow</w:t>
      </w:r>
      <w:r w:rsidR="004671FA">
        <w:rPr>
          <w:rFonts w:ascii="Times New Roman" w:hAnsi="Times New Roman" w:cs="Times New Roman" w:hint="eastAsia"/>
          <w:sz w:val="20"/>
          <w:szCs w:val="21"/>
        </w:rPr>
        <w:t xml:space="preserve"> </w:t>
      </w:r>
      <w:r w:rsidR="00AC7F1D">
        <w:rPr>
          <w:rFonts w:ascii="Times New Roman" w:hAnsi="Times New Roman" w:cs="Times New Roman"/>
          <w:sz w:val="20"/>
          <w:szCs w:val="21"/>
        </w:rPr>
        <w:t>interpretation</w:t>
      </w:r>
      <w:r w:rsidR="00345D20">
        <w:rPr>
          <w:rFonts w:ascii="Times New Roman" w:hAnsi="Times New Roman" w:cs="Times New Roman" w:hint="eastAsia"/>
          <w:sz w:val="20"/>
          <w:szCs w:val="21"/>
        </w:rPr>
        <w:t xml:space="preserve">. </w:t>
      </w:r>
      <w:r w:rsidR="00AC7F1D">
        <w:rPr>
          <w:rFonts w:ascii="Times New Roman" w:hAnsi="Times New Roman" w:cs="Times New Roman" w:hint="eastAsia"/>
          <w:sz w:val="20"/>
          <w:szCs w:val="21"/>
        </w:rPr>
        <w:t>A</w:t>
      </w:r>
      <w:r w:rsidR="00604DE7">
        <w:rPr>
          <w:rFonts w:ascii="Times New Roman" w:hAnsi="Times New Roman" w:cs="Times New Roman" w:hint="eastAsia"/>
          <w:sz w:val="20"/>
          <w:szCs w:val="21"/>
        </w:rPr>
        <w:t xml:space="preserve">s the </w:t>
      </w:r>
      <w:r w:rsidR="00896B9E" w:rsidRPr="00EB11DE">
        <w:rPr>
          <w:rFonts w:ascii="Times New Roman" w:hAnsi="Times New Roman" w:cs="Times New Roman"/>
          <w:sz w:val="20"/>
          <w:szCs w:val="21"/>
        </w:rPr>
        <w:t>Independent Panel</w:t>
      </w:r>
      <w:r w:rsidR="00604DE7">
        <w:rPr>
          <w:rFonts w:ascii="Times New Roman" w:hAnsi="Times New Roman" w:cs="Times New Roman" w:hint="eastAsia"/>
          <w:sz w:val="20"/>
          <w:szCs w:val="21"/>
        </w:rPr>
        <w:t xml:space="preserve"> itself</w:t>
      </w:r>
      <w:r w:rsidR="00896B9E">
        <w:rPr>
          <w:rFonts w:ascii="Times New Roman" w:hAnsi="Times New Roman" w:cs="Times New Roman" w:hint="eastAsia"/>
          <w:sz w:val="20"/>
          <w:szCs w:val="21"/>
        </w:rPr>
        <w:t xml:space="preserve"> reports,</w:t>
      </w:r>
      <w:r w:rsidR="00604DE7">
        <w:rPr>
          <w:rFonts w:ascii="Times New Roman" w:hAnsi="Times New Roman" w:cs="Times New Roman" w:hint="eastAsia"/>
          <w:sz w:val="20"/>
          <w:szCs w:val="21"/>
        </w:rPr>
        <w:t xml:space="preserve"> quot</w:t>
      </w:r>
      <w:r w:rsidR="00896B9E">
        <w:rPr>
          <w:rFonts w:ascii="Times New Roman" w:hAnsi="Times New Roman" w:cs="Times New Roman" w:hint="eastAsia"/>
          <w:sz w:val="20"/>
          <w:szCs w:val="21"/>
        </w:rPr>
        <w:t>ing</w:t>
      </w:r>
      <w:r w:rsidR="00604DE7">
        <w:rPr>
          <w:rFonts w:ascii="Times New Roman" w:hAnsi="Times New Roman" w:cs="Times New Roman" w:hint="eastAsia"/>
          <w:sz w:val="20"/>
          <w:szCs w:val="21"/>
        </w:rPr>
        <w:t xml:space="preserve"> from</w:t>
      </w:r>
      <w:r w:rsidR="00604DE7" w:rsidRPr="00604DE7">
        <w:rPr>
          <w:rFonts w:ascii="Times New Roman" w:hAnsi="Times New Roman" w:cs="Times New Roman" w:hint="eastAsia"/>
          <w:sz w:val="20"/>
          <w:szCs w:val="21"/>
        </w:rPr>
        <w:t xml:space="preserve"> Professor David Feldman</w:t>
      </w:r>
      <w:proofErr w:type="gramStart"/>
      <w:r w:rsidR="00604DE7">
        <w:rPr>
          <w:rFonts w:ascii="Times New Roman" w:hAnsi="Times New Roman" w:cs="Times New Roman"/>
          <w:sz w:val="20"/>
          <w:szCs w:val="21"/>
        </w:rPr>
        <w:t>’</w:t>
      </w:r>
      <w:proofErr w:type="gramEnd"/>
      <w:r w:rsidR="00604DE7">
        <w:rPr>
          <w:rFonts w:ascii="Times New Roman" w:hAnsi="Times New Roman" w:cs="Times New Roman" w:hint="eastAsia"/>
          <w:sz w:val="20"/>
          <w:szCs w:val="21"/>
        </w:rPr>
        <w:t>s suggestion</w:t>
      </w:r>
      <w:r w:rsidR="00604DE7" w:rsidRPr="00604DE7">
        <w:rPr>
          <w:rFonts w:ascii="Times New Roman" w:hAnsi="Times New Roman" w:cs="Times New Roman" w:hint="eastAsia"/>
          <w:sz w:val="20"/>
          <w:szCs w:val="21"/>
        </w:rPr>
        <w:t xml:space="preserve">, </w:t>
      </w:r>
      <w:r w:rsidR="009065D2">
        <w:rPr>
          <w:rFonts w:ascii="Times New Roman" w:hAnsi="Times New Roman" w:cs="Times New Roman"/>
          <w:sz w:val="20"/>
          <w:szCs w:val="21"/>
        </w:rPr>
        <w:t>legi</w:t>
      </w:r>
      <w:r w:rsidR="009065D2">
        <w:rPr>
          <w:rFonts w:ascii="Times New Roman" w:hAnsi="Times New Roman" w:cs="Times New Roman" w:hint="eastAsia"/>
          <w:sz w:val="20"/>
          <w:szCs w:val="21"/>
        </w:rPr>
        <w:t>timate expectation is</w:t>
      </w:r>
      <w:r w:rsidR="002676C2">
        <w:rPr>
          <w:rFonts w:ascii="Times New Roman" w:hAnsi="Times New Roman" w:cs="Times New Roman" w:hint="eastAsia"/>
          <w:sz w:val="20"/>
          <w:szCs w:val="21"/>
        </w:rPr>
        <w:t xml:space="preserve"> </w:t>
      </w:r>
      <w:r w:rsidR="00604DE7" w:rsidRPr="00604DE7">
        <w:rPr>
          <w:rFonts w:ascii="Times New Roman" w:hAnsi="Times New Roman" w:cs="Times New Roman" w:hint="eastAsia"/>
          <w:sz w:val="20"/>
          <w:szCs w:val="21"/>
        </w:rPr>
        <w:t>“</w:t>
      </w:r>
      <w:r w:rsidR="00604DE7" w:rsidRPr="00604DE7">
        <w:rPr>
          <w:rFonts w:ascii="Times New Roman" w:hAnsi="Times New Roman" w:cs="Times New Roman" w:hint="eastAsia"/>
          <w:sz w:val="20"/>
          <w:szCs w:val="21"/>
        </w:rPr>
        <w:t>the last gasp of a despairing advocate</w:t>
      </w:r>
      <w:r w:rsidR="00604DE7" w:rsidRPr="00604DE7">
        <w:rPr>
          <w:rFonts w:ascii="Times New Roman" w:hAnsi="Times New Roman" w:cs="Times New Roman" w:hint="eastAsia"/>
          <w:sz w:val="20"/>
          <w:szCs w:val="21"/>
        </w:rPr>
        <w:t>”</w:t>
      </w:r>
      <w:r w:rsidR="002676C2">
        <w:rPr>
          <w:rFonts w:ascii="Times New Roman" w:hAnsi="Times New Roman" w:cs="Times New Roman" w:hint="eastAsia"/>
          <w:sz w:val="20"/>
          <w:szCs w:val="21"/>
        </w:rPr>
        <w:t>. Because</w:t>
      </w:r>
      <w:r w:rsidR="00604DE7">
        <w:rPr>
          <w:rFonts w:ascii="Times New Roman" w:hAnsi="Times New Roman" w:cs="Times New Roman" w:hint="eastAsia"/>
          <w:sz w:val="20"/>
          <w:szCs w:val="21"/>
        </w:rPr>
        <w:t xml:space="preserve"> </w:t>
      </w:r>
      <w:r w:rsidR="000720E4">
        <w:rPr>
          <w:rFonts w:ascii="Times New Roman" w:hAnsi="Times New Roman" w:cs="Times New Roman" w:hint="eastAsia"/>
          <w:sz w:val="20"/>
          <w:szCs w:val="21"/>
        </w:rPr>
        <w:t>it</w:t>
      </w:r>
      <w:r w:rsidR="00604DE7">
        <w:rPr>
          <w:rFonts w:ascii="Times New Roman" w:hAnsi="Times New Roman" w:cs="Times New Roman" w:hint="eastAsia"/>
          <w:sz w:val="20"/>
          <w:szCs w:val="21"/>
        </w:rPr>
        <w:t xml:space="preserve"> is not an </w:t>
      </w:r>
      <w:r w:rsidR="00604DE7">
        <w:rPr>
          <w:rFonts w:ascii="Times New Roman" w:hAnsi="Times New Roman" w:cs="Times New Roman"/>
          <w:sz w:val="20"/>
          <w:szCs w:val="21"/>
        </w:rPr>
        <w:t>easy</w:t>
      </w:r>
      <w:r w:rsidR="00604DE7">
        <w:rPr>
          <w:rFonts w:ascii="Times New Roman" w:hAnsi="Times New Roman" w:cs="Times New Roman" w:hint="eastAsia"/>
          <w:sz w:val="20"/>
          <w:szCs w:val="21"/>
        </w:rPr>
        <w:t xml:space="preserve"> ground to rely on. </w:t>
      </w:r>
    </w:p>
    <w:p w14:paraId="7A442CDA" w14:textId="12DE2C74" w:rsidR="0025394E" w:rsidRDefault="00FD0652" w:rsidP="00A15197">
      <w:pPr>
        <w:rPr>
          <w:rFonts w:ascii="Times New Roman" w:hAnsi="Times New Roman" w:cs="Times New Roman"/>
          <w:b/>
          <w:bCs/>
        </w:rPr>
      </w:pPr>
      <w:r>
        <w:rPr>
          <w:rFonts w:ascii="Times New Roman" w:hAnsi="Times New Roman" w:cs="Times New Roman" w:hint="eastAsia"/>
          <w:b/>
          <w:bCs/>
        </w:rPr>
        <w:t>Anxious Scrutiny</w:t>
      </w:r>
      <w:r w:rsidR="00B02FF6">
        <w:rPr>
          <w:rFonts w:ascii="Times New Roman" w:hAnsi="Times New Roman" w:cs="Times New Roman" w:hint="eastAsia"/>
          <w:b/>
          <w:bCs/>
        </w:rPr>
        <w:t xml:space="preserve"> and</w:t>
      </w:r>
      <w:r w:rsidR="002D7D8A">
        <w:rPr>
          <w:rFonts w:ascii="Times New Roman" w:hAnsi="Times New Roman" w:cs="Times New Roman" w:hint="eastAsia"/>
          <w:b/>
          <w:bCs/>
        </w:rPr>
        <w:t xml:space="preserve"> </w:t>
      </w:r>
      <w:r w:rsidR="002D7D8A" w:rsidRPr="002D7D8A">
        <w:rPr>
          <w:rFonts w:ascii="Times New Roman" w:hAnsi="Times New Roman" w:cs="Times New Roman" w:hint="eastAsia"/>
          <w:b/>
          <w:bCs/>
        </w:rPr>
        <w:t>Wednesbury</w:t>
      </w:r>
      <w:r w:rsidR="002D7D8A">
        <w:rPr>
          <w:rFonts w:ascii="Times New Roman" w:hAnsi="Times New Roman" w:cs="Times New Roman" w:hint="eastAsia"/>
          <w:b/>
          <w:bCs/>
        </w:rPr>
        <w:t xml:space="preserve"> </w:t>
      </w:r>
      <w:r w:rsidR="002D7D8A" w:rsidRPr="002D7D8A">
        <w:rPr>
          <w:rFonts w:ascii="Times New Roman" w:hAnsi="Times New Roman" w:cs="Times New Roman" w:hint="eastAsia"/>
          <w:b/>
          <w:bCs/>
        </w:rPr>
        <w:t>unreasonableness</w:t>
      </w:r>
      <w:r w:rsidR="0025394E" w:rsidRPr="005B714B">
        <w:rPr>
          <w:rFonts w:ascii="Times New Roman" w:hAnsi="Times New Roman" w:cs="Times New Roman"/>
          <w:b/>
          <w:bCs/>
        </w:rPr>
        <w:t xml:space="preserve"> </w:t>
      </w:r>
    </w:p>
    <w:p w14:paraId="6E327B2E" w14:textId="167B5998" w:rsidR="002D7D8A" w:rsidRDefault="002D7D8A" w:rsidP="00A15197">
      <w:pPr>
        <w:rPr>
          <w:rFonts w:ascii="Times New Roman" w:hAnsi="Times New Roman" w:cs="Times New Roman"/>
          <w:sz w:val="20"/>
          <w:szCs w:val="21"/>
        </w:rPr>
      </w:pPr>
      <w:r w:rsidRPr="002D7D8A">
        <w:rPr>
          <w:rFonts w:ascii="Times New Roman" w:hAnsi="Times New Roman" w:cs="Times New Roman"/>
          <w:sz w:val="20"/>
          <w:szCs w:val="21"/>
        </w:rPr>
        <w:t xml:space="preserve">The Wednesbury </w:t>
      </w:r>
      <w:proofErr w:type="gramStart"/>
      <w:r w:rsidRPr="002D7D8A">
        <w:rPr>
          <w:rFonts w:ascii="Times New Roman" w:hAnsi="Times New Roman" w:cs="Times New Roman"/>
          <w:sz w:val="20"/>
          <w:szCs w:val="21"/>
        </w:rPr>
        <w:t>unreasonableness</w:t>
      </w:r>
      <w:proofErr w:type="gramEnd"/>
      <w:r w:rsidRPr="002D7D8A">
        <w:rPr>
          <w:rFonts w:ascii="Times New Roman" w:hAnsi="Times New Roman" w:cs="Times New Roman"/>
          <w:sz w:val="20"/>
          <w:szCs w:val="21"/>
        </w:rPr>
        <w:t xml:space="preserve"> test, originating from Associated Provincial Picture Houses Ltd v Wednesbury Corporation</w:t>
      </w:r>
      <w:r>
        <w:rPr>
          <w:rStyle w:val="af4"/>
          <w:rFonts w:ascii="Times New Roman" w:hAnsi="Times New Roman" w:cs="Times New Roman"/>
          <w:sz w:val="20"/>
          <w:szCs w:val="21"/>
        </w:rPr>
        <w:footnoteReference w:id="14"/>
      </w:r>
      <w:r w:rsidRPr="002D7D8A">
        <w:rPr>
          <w:rFonts w:ascii="Times New Roman" w:hAnsi="Times New Roman" w:cs="Times New Roman"/>
          <w:sz w:val="20"/>
          <w:szCs w:val="21"/>
        </w:rPr>
        <w:t xml:space="preserve">, sets a high threshold for judicial intervention, requiring decisions to be "so unreasonable that no reasonable authority could have come to it" (Lord Greene MR). This standard traditionally provided public bodies with clarity, as challenges rarely succeeded absent egregious irrationality. However, the emergence of </w:t>
      </w:r>
      <w:proofErr w:type="gramStart"/>
      <w:r w:rsidRPr="002D7D8A">
        <w:rPr>
          <w:rFonts w:ascii="Times New Roman" w:hAnsi="Times New Roman" w:cs="Times New Roman"/>
          <w:sz w:val="20"/>
          <w:szCs w:val="21"/>
        </w:rPr>
        <w:t>proportionality—a</w:t>
      </w:r>
      <w:proofErr w:type="gramEnd"/>
      <w:r w:rsidRPr="002D7D8A">
        <w:rPr>
          <w:rFonts w:ascii="Times New Roman" w:hAnsi="Times New Roman" w:cs="Times New Roman"/>
          <w:sz w:val="20"/>
          <w:szCs w:val="21"/>
        </w:rPr>
        <w:t xml:space="preserve"> stricter test derived from human rights jurisprudence—has introduced a parallel framework. Proportionality demands that restrictions on rights be (1) rationally connected to a legitimate aim, (2) minimally impairing, and (3) proportionate in balance (Hysan Development Co Ltd v Town Planning Board [2016] 19 HKCFAR 372, Ribeiro PJ). Crucially, these tests coexist rather than follow a strict sequence. In Hong Kong, Wednesbury remains the default standard for administrative decisions, while proportionality applies only when constitutional rights are engaged (Ramsden, Anxious Scrutiny in Hong Kong Administrative Law, pp. 354–355).</w:t>
      </w:r>
    </w:p>
    <w:p w14:paraId="45FFD2E7" w14:textId="7CC54733" w:rsidR="00FD0652" w:rsidRPr="002D7D8A" w:rsidRDefault="00FD0652" w:rsidP="00A15197">
      <w:pPr>
        <w:rPr>
          <w:rFonts w:ascii="Times New Roman" w:hAnsi="Times New Roman" w:cs="Times New Roman"/>
          <w:sz w:val="20"/>
          <w:szCs w:val="21"/>
        </w:rPr>
      </w:pPr>
      <w:r w:rsidRPr="00FD0652">
        <w:rPr>
          <w:rFonts w:ascii="Times New Roman" w:hAnsi="Times New Roman" w:cs="Times New Roman" w:hint="eastAsia"/>
          <w:sz w:val="20"/>
          <w:szCs w:val="21"/>
        </w:rPr>
        <w:t xml:space="preserve">The concept of "anxious scrutiny" emerged in English law as a standard for cases involving fundamental rights. In </w:t>
      </w:r>
      <w:proofErr w:type="spellStart"/>
      <w:r w:rsidRPr="00EF5148">
        <w:rPr>
          <w:rFonts w:ascii="Times New Roman" w:hAnsi="Times New Roman" w:cs="Times New Roman" w:hint="eastAsia"/>
          <w:i/>
          <w:iCs/>
          <w:sz w:val="20"/>
          <w:szCs w:val="21"/>
        </w:rPr>
        <w:t>Bugdaycay</w:t>
      </w:r>
      <w:proofErr w:type="spellEnd"/>
      <w:r w:rsidRPr="00EF5148">
        <w:rPr>
          <w:rFonts w:ascii="Times New Roman" w:hAnsi="Times New Roman" w:cs="Times New Roman" w:hint="eastAsia"/>
          <w:i/>
          <w:iCs/>
          <w:sz w:val="20"/>
          <w:szCs w:val="21"/>
        </w:rPr>
        <w:t xml:space="preserve"> v Secretary of State for the Home Department</w:t>
      </w:r>
      <w:r>
        <w:rPr>
          <w:rStyle w:val="af4"/>
          <w:rFonts w:ascii="Times New Roman" w:hAnsi="Times New Roman" w:cs="Times New Roman"/>
          <w:sz w:val="20"/>
          <w:szCs w:val="21"/>
        </w:rPr>
        <w:footnoteReference w:id="15"/>
      </w:r>
      <w:r w:rsidRPr="00FD0652">
        <w:rPr>
          <w:rFonts w:ascii="Times New Roman" w:hAnsi="Times New Roman" w:cs="Times New Roman" w:hint="eastAsia"/>
          <w:sz w:val="20"/>
          <w:szCs w:val="21"/>
        </w:rPr>
        <w:t>, Lord Bridge held that decisions affecting "the most fundamental of all human rights" warrant "the most anxious scrutiny," requiring authorities to demonstrate rigorous justification. This principle was adopted in Hong Kong in Secretary for Security v Prabakar</w:t>
      </w:r>
      <w:r w:rsidR="007F58AD">
        <w:rPr>
          <w:rStyle w:val="af4"/>
          <w:rFonts w:ascii="Times New Roman" w:hAnsi="Times New Roman" w:cs="Times New Roman"/>
          <w:sz w:val="20"/>
          <w:szCs w:val="21"/>
        </w:rPr>
        <w:footnoteReference w:id="16"/>
      </w:r>
      <w:r w:rsidRPr="00FD0652">
        <w:rPr>
          <w:rFonts w:ascii="Times New Roman" w:hAnsi="Times New Roman" w:cs="Times New Roman" w:hint="eastAsia"/>
          <w:sz w:val="20"/>
          <w:szCs w:val="21"/>
        </w:rPr>
        <w:t>, where the Court of Final Appeal (CFA) mandated "rigorous examination" of refugee determinations, obliging decision-makers to independently verify claims and provide cogent reasoning (Ramsden, pp. 356</w:t>
      </w:r>
      <w:r w:rsidRPr="00FD0652">
        <w:rPr>
          <w:rFonts w:ascii="Times New Roman" w:hAnsi="Times New Roman" w:cs="Times New Roman" w:hint="eastAsia"/>
          <w:sz w:val="20"/>
          <w:szCs w:val="21"/>
        </w:rPr>
        <w:t>–</w:t>
      </w:r>
      <w:r w:rsidRPr="00FD0652">
        <w:rPr>
          <w:rFonts w:ascii="Times New Roman" w:hAnsi="Times New Roman" w:cs="Times New Roman" w:hint="eastAsia"/>
          <w:sz w:val="20"/>
          <w:szCs w:val="21"/>
        </w:rPr>
        <w:t xml:space="preserve">357). Anxious scrutiny operates as a heightened form of review within </w:t>
      </w:r>
      <w:r w:rsidR="007F58AD">
        <w:rPr>
          <w:rFonts w:ascii="Times New Roman" w:hAnsi="Times New Roman" w:cs="Times New Roman" w:hint="eastAsia"/>
          <w:sz w:val="20"/>
          <w:szCs w:val="21"/>
        </w:rPr>
        <w:t>the</w:t>
      </w:r>
      <w:r w:rsidRPr="00FD0652">
        <w:rPr>
          <w:rFonts w:ascii="Times New Roman" w:hAnsi="Times New Roman" w:cs="Times New Roman" w:hint="eastAsia"/>
          <w:sz w:val="20"/>
          <w:szCs w:val="21"/>
        </w:rPr>
        <w:t xml:space="preserve"> framework</w:t>
      </w:r>
      <w:r w:rsidR="007F58AD">
        <w:rPr>
          <w:rFonts w:ascii="Times New Roman" w:hAnsi="Times New Roman" w:cs="Times New Roman" w:hint="eastAsia"/>
          <w:sz w:val="20"/>
          <w:szCs w:val="21"/>
        </w:rPr>
        <w:t xml:space="preserve"> of JR</w:t>
      </w:r>
      <w:r w:rsidRPr="00FD0652">
        <w:rPr>
          <w:rFonts w:ascii="Times New Roman" w:hAnsi="Times New Roman" w:cs="Times New Roman" w:hint="eastAsia"/>
          <w:sz w:val="20"/>
          <w:szCs w:val="21"/>
        </w:rPr>
        <w:t>, demanding closer scrutiny of evidence and reasoning.</w:t>
      </w:r>
    </w:p>
    <w:p w14:paraId="3AAE4BBB" w14:textId="469FD543" w:rsidR="00A15197" w:rsidRDefault="00202E61" w:rsidP="00A15197">
      <w:pPr>
        <w:rPr>
          <w:rFonts w:ascii="Times New Roman" w:hAnsi="Times New Roman" w:cs="Times New Roman"/>
          <w:sz w:val="20"/>
          <w:szCs w:val="21"/>
        </w:rPr>
      </w:pPr>
      <w:r>
        <w:rPr>
          <w:rFonts w:ascii="Times New Roman" w:hAnsi="Times New Roman" w:cs="Times New Roman" w:hint="eastAsia"/>
          <w:sz w:val="20"/>
          <w:szCs w:val="21"/>
        </w:rPr>
        <w:lastRenderedPageBreak/>
        <w:t>L</w:t>
      </w:r>
      <w:r w:rsidR="00A15197" w:rsidRPr="00A15197">
        <w:rPr>
          <w:rFonts w:ascii="Times New Roman" w:hAnsi="Times New Roman" w:cs="Times New Roman"/>
          <w:sz w:val="20"/>
          <w:szCs w:val="21"/>
        </w:rPr>
        <w:t>inking "anxious scrutiny" to "fundamental rights" in Hong Kong is confusing because the term "fundamental rights" typically refers to constitutional rights under the Basic Law. When dealing with such rights, courts routinely apply the proportionality test, often adopting stricter standards like "strict scrutiny" or "reasonable necessity" rather than "anxious scrutiny."</w:t>
      </w:r>
      <w:r w:rsidR="00A15197">
        <w:rPr>
          <w:rStyle w:val="af4"/>
          <w:rFonts w:ascii="Times New Roman" w:hAnsi="Times New Roman" w:cs="Times New Roman"/>
          <w:sz w:val="20"/>
          <w:szCs w:val="21"/>
        </w:rPr>
        <w:footnoteReference w:id="17"/>
      </w:r>
      <w:r w:rsidR="00A15197" w:rsidRPr="00A15197">
        <w:rPr>
          <w:rFonts w:ascii="Times New Roman" w:hAnsi="Times New Roman" w:cs="Times New Roman"/>
          <w:sz w:val="20"/>
          <w:szCs w:val="21"/>
        </w:rPr>
        <w:t xml:space="preserve"> While the court might be using "fundamental rights" in this context to refer to common law </w:t>
      </w:r>
      <w:r w:rsidRPr="00A15197">
        <w:rPr>
          <w:rFonts w:ascii="Times New Roman" w:hAnsi="Times New Roman" w:cs="Times New Roman"/>
          <w:sz w:val="20"/>
          <w:szCs w:val="21"/>
        </w:rPr>
        <w:t>rights</w:t>
      </w:r>
      <w:r>
        <w:rPr>
          <w:rFonts w:ascii="Times New Roman" w:hAnsi="Times New Roman" w:cs="Times New Roman"/>
          <w:sz w:val="20"/>
          <w:szCs w:val="21"/>
        </w:rPr>
        <w:t xml:space="preserve"> (</w:t>
      </w:r>
      <w:r w:rsidR="008040BB">
        <w:rPr>
          <w:rFonts w:ascii="Times New Roman" w:hAnsi="Times New Roman" w:cs="Times New Roman" w:hint="eastAsia"/>
          <w:sz w:val="20"/>
          <w:szCs w:val="21"/>
        </w:rPr>
        <w:t>distinct from constitutional right)</w:t>
      </w:r>
      <w:r w:rsidR="00A15197" w:rsidRPr="00A15197">
        <w:rPr>
          <w:rFonts w:ascii="Times New Roman" w:hAnsi="Times New Roman" w:cs="Times New Roman"/>
          <w:sz w:val="20"/>
          <w:szCs w:val="21"/>
        </w:rPr>
        <w:t xml:space="preserve"> or</w:t>
      </w:r>
      <w:r w:rsidR="00EF5148">
        <w:rPr>
          <w:rFonts w:ascii="Times New Roman" w:hAnsi="Times New Roman" w:cs="Times New Roman" w:hint="eastAsia"/>
          <w:sz w:val="20"/>
          <w:szCs w:val="21"/>
        </w:rPr>
        <w:t xml:space="preserve"> </w:t>
      </w:r>
      <w:r w:rsidR="00EF5148" w:rsidRPr="00EF5148">
        <w:rPr>
          <w:rFonts w:ascii="Times New Roman" w:hAnsi="Times New Roman" w:cs="Times New Roman" w:hint="eastAsia"/>
          <w:sz w:val="20"/>
          <w:szCs w:val="21"/>
        </w:rPr>
        <w:t>rights derived from unincorporated human rights treaties</w:t>
      </w:r>
      <w:r w:rsidR="008040BB">
        <w:rPr>
          <w:rFonts w:ascii="Times New Roman" w:hAnsi="Times New Roman" w:cs="Times New Roman" w:hint="eastAsia"/>
          <w:sz w:val="20"/>
          <w:szCs w:val="21"/>
        </w:rPr>
        <w:t xml:space="preserve">. However, the court seems to fail to </w:t>
      </w:r>
      <w:r w:rsidR="008040BB" w:rsidRPr="008040BB">
        <w:rPr>
          <w:rFonts w:ascii="Times New Roman" w:hAnsi="Times New Roman" w:cs="Times New Roman" w:hint="eastAsia"/>
          <w:sz w:val="20"/>
          <w:szCs w:val="21"/>
        </w:rPr>
        <w:t>explain rigorously the origin of such rights.</w:t>
      </w:r>
      <w:r w:rsidR="002D76C8">
        <w:rPr>
          <w:rFonts w:ascii="Times New Roman" w:hAnsi="Times New Roman" w:cs="Times New Roman" w:hint="eastAsia"/>
          <w:sz w:val="20"/>
          <w:szCs w:val="21"/>
        </w:rPr>
        <w:t xml:space="preserve"> </w:t>
      </w:r>
    </w:p>
    <w:p w14:paraId="53904807" w14:textId="357FFB86" w:rsidR="002D7D8A" w:rsidRDefault="007F58AD" w:rsidP="00A15197">
      <w:pPr>
        <w:rPr>
          <w:rFonts w:ascii="Times New Roman" w:hAnsi="Times New Roman" w:cs="Times New Roman"/>
          <w:sz w:val="20"/>
          <w:szCs w:val="21"/>
        </w:rPr>
      </w:pPr>
      <w:r w:rsidRPr="007F58AD">
        <w:rPr>
          <w:rFonts w:ascii="Times New Roman" w:hAnsi="Times New Roman" w:cs="Times New Roman" w:hint="eastAsia"/>
          <w:sz w:val="20"/>
          <w:szCs w:val="21"/>
        </w:rPr>
        <w:t xml:space="preserve">Johannes Chan, in </w:t>
      </w:r>
      <w:r w:rsidRPr="00E10BC2">
        <w:rPr>
          <w:rFonts w:ascii="Times New Roman" w:hAnsi="Times New Roman" w:cs="Times New Roman" w:hint="eastAsia"/>
          <w:i/>
          <w:iCs/>
          <w:sz w:val="20"/>
          <w:szCs w:val="21"/>
        </w:rPr>
        <w:t>A Sliding Scale of Reasonableness in Judicial Review</w:t>
      </w:r>
      <w:r>
        <w:rPr>
          <w:rStyle w:val="af4"/>
          <w:rFonts w:ascii="Times New Roman" w:hAnsi="Times New Roman" w:cs="Times New Roman"/>
          <w:sz w:val="20"/>
          <w:szCs w:val="21"/>
        </w:rPr>
        <w:footnoteReference w:id="18"/>
      </w:r>
      <w:r w:rsidRPr="007F58AD">
        <w:rPr>
          <w:rFonts w:ascii="Times New Roman" w:hAnsi="Times New Roman" w:cs="Times New Roman" w:hint="eastAsia"/>
          <w:sz w:val="20"/>
          <w:szCs w:val="21"/>
        </w:rPr>
        <w:t>, argues that judicial scrutiny should vary based on the gravity of the issue. For example, in Hong Kong</w:t>
      </w:r>
      <w:proofErr w:type="gramStart"/>
      <w:r w:rsidRPr="007F58AD">
        <w:rPr>
          <w:rFonts w:ascii="Times New Roman" w:hAnsi="Times New Roman" w:cs="Times New Roman" w:hint="eastAsia"/>
          <w:sz w:val="20"/>
          <w:szCs w:val="21"/>
        </w:rPr>
        <w:t>’</w:t>
      </w:r>
      <w:proofErr w:type="gramEnd"/>
      <w:r w:rsidRPr="007F58AD">
        <w:rPr>
          <w:rFonts w:ascii="Times New Roman" w:hAnsi="Times New Roman" w:cs="Times New Roman" w:hint="eastAsia"/>
          <w:sz w:val="20"/>
          <w:szCs w:val="21"/>
        </w:rPr>
        <w:t xml:space="preserve">s </w:t>
      </w:r>
      <w:proofErr w:type="spellStart"/>
      <w:r w:rsidRPr="007F58AD">
        <w:rPr>
          <w:rFonts w:ascii="Times New Roman" w:hAnsi="Times New Roman" w:cs="Times New Roman" w:hint="eastAsia"/>
          <w:sz w:val="20"/>
          <w:szCs w:val="21"/>
        </w:rPr>
        <w:t>Harbour</w:t>
      </w:r>
      <w:proofErr w:type="spellEnd"/>
      <w:r w:rsidRPr="007F58AD">
        <w:rPr>
          <w:rFonts w:ascii="Times New Roman" w:hAnsi="Times New Roman" w:cs="Times New Roman" w:hint="eastAsia"/>
          <w:sz w:val="20"/>
          <w:szCs w:val="21"/>
        </w:rPr>
        <w:t xml:space="preserve"> Protection cases</w:t>
      </w:r>
      <w:r>
        <w:rPr>
          <w:rStyle w:val="af4"/>
          <w:rFonts w:ascii="Times New Roman" w:hAnsi="Times New Roman" w:cs="Times New Roman"/>
          <w:sz w:val="20"/>
          <w:szCs w:val="21"/>
        </w:rPr>
        <w:footnoteReference w:id="19"/>
      </w:r>
      <w:r w:rsidRPr="007F58AD">
        <w:rPr>
          <w:rFonts w:ascii="Times New Roman" w:hAnsi="Times New Roman" w:cs="Times New Roman" w:hint="eastAsia"/>
          <w:sz w:val="20"/>
          <w:szCs w:val="21"/>
        </w:rPr>
        <w:t xml:space="preserve">, courts applied heightened scrutiny to reclamation decisions, requiring "cogent and convincing evidence" to override statutory presumptions against reclamation. The CFA emphasized that the </w:t>
      </w:r>
      <w:proofErr w:type="spellStart"/>
      <w:r w:rsidRPr="007F58AD">
        <w:rPr>
          <w:rFonts w:ascii="Times New Roman" w:hAnsi="Times New Roman" w:cs="Times New Roman" w:hint="eastAsia"/>
          <w:sz w:val="20"/>
          <w:szCs w:val="21"/>
        </w:rPr>
        <w:t>Harbour</w:t>
      </w:r>
      <w:proofErr w:type="spellEnd"/>
      <w:proofErr w:type="gramStart"/>
      <w:r w:rsidRPr="007F58AD">
        <w:rPr>
          <w:rFonts w:ascii="Times New Roman" w:hAnsi="Times New Roman" w:cs="Times New Roman" w:hint="eastAsia"/>
          <w:sz w:val="20"/>
          <w:szCs w:val="21"/>
        </w:rPr>
        <w:t>’</w:t>
      </w:r>
      <w:proofErr w:type="gramEnd"/>
      <w:r w:rsidRPr="007F58AD">
        <w:rPr>
          <w:rFonts w:ascii="Times New Roman" w:hAnsi="Times New Roman" w:cs="Times New Roman" w:hint="eastAsia"/>
          <w:sz w:val="20"/>
          <w:szCs w:val="21"/>
        </w:rPr>
        <w:t>s status as a "special public asset" necessitated a "compelling, overriding, and present public need" for reclamation</w:t>
      </w:r>
      <w:r>
        <w:rPr>
          <w:rStyle w:val="af4"/>
          <w:rFonts w:ascii="Times New Roman" w:hAnsi="Times New Roman" w:cs="Times New Roman"/>
          <w:sz w:val="20"/>
          <w:szCs w:val="21"/>
        </w:rPr>
        <w:footnoteReference w:id="20"/>
      </w:r>
      <w:r w:rsidRPr="007F58AD">
        <w:rPr>
          <w:rFonts w:ascii="Times New Roman" w:hAnsi="Times New Roman" w:cs="Times New Roman" w:hint="eastAsia"/>
          <w:sz w:val="20"/>
          <w:szCs w:val="21"/>
        </w:rPr>
        <w:t xml:space="preserve">. However, this sliding scale creates ambiguity. In Society for the Protection of the </w:t>
      </w:r>
      <w:proofErr w:type="spellStart"/>
      <w:r w:rsidRPr="007F58AD">
        <w:rPr>
          <w:rFonts w:ascii="Times New Roman" w:hAnsi="Times New Roman" w:cs="Times New Roman" w:hint="eastAsia"/>
          <w:sz w:val="20"/>
          <w:szCs w:val="21"/>
        </w:rPr>
        <w:t>Harbour</w:t>
      </w:r>
      <w:proofErr w:type="spellEnd"/>
      <w:r w:rsidRPr="007F58AD">
        <w:rPr>
          <w:rFonts w:ascii="Times New Roman" w:hAnsi="Times New Roman" w:cs="Times New Roman" w:hint="eastAsia"/>
          <w:sz w:val="20"/>
          <w:szCs w:val="21"/>
        </w:rPr>
        <w:t xml:space="preserve"> v Chief Executive-in-Council (No 2)</w:t>
      </w:r>
      <w:r>
        <w:rPr>
          <w:rStyle w:val="af4"/>
          <w:rFonts w:ascii="Times New Roman" w:hAnsi="Times New Roman" w:cs="Times New Roman"/>
          <w:sz w:val="20"/>
          <w:szCs w:val="21"/>
        </w:rPr>
        <w:footnoteReference w:id="21"/>
      </w:r>
      <w:r w:rsidRPr="007F58AD">
        <w:rPr>
          <w:rFonts w:ascii="Times New Roman" w:hAnsi="Times New Roman" w:cs="Times New Roman" w:hint="eastAsia"/>
          <w:sz w:val="20"/>
          <w:szCs w:val="21"/>
        </w:rPr>
        <w:t>, Hartmann J struggled to define the appropriate standard, noting that "something more rigorous than the standard Wednesbury test is required" but cautioning against conflating it with proportionality (p. 79). Such judicial equivocation leaves public bodies uncertain whether their decisions will face traditional Wednesbury review or a heightened standard.</w:t>
      </w:r>
    </w:p>
    <w:p w14:paraId="40B4733F" w14:textId="22DBAFFC" w:rsidR="003D73E6" w:rsidRPr="007F58AD" w:rsidRDefault="007F58AD" w:rsidP="00A15197">
      <w:pPr>
        <w:rPr>
          <w:rFonts w:ascii="Times New Roman" w:hAnsi="Times New Roman" w:cs="Times New Roman"/>
          <w:sz w:val="20"/>
          <w:szCs w:val="21"/>
        </w:rPr>
      </w:pPr>
      <w:r>
        <w:rPr>
          <w:rFonts w:ascii="Times New Roman" w:hAnsi="Times New Roman" w:cs="Times New Roman" w:hint="eastAsia"/>
          <w:sz w:val="20"/>
          <w:szCs w:val="21"/>
        </w:rPr>
        <w:t>Furthermore,</w:t>
      </w:r>
      <w:r w:rsidR="00E10BC2" w:rsidRPr="00E10BC2">
        <w:rPr>
          <w:rFonts w:hint="eastAsia"/>
        </w:rPr>
        <w:t xml:space="preserve"> </w:t>
      </w:r>
      <w:r w:rsidR="00E10BC2" w:rsidRPr="00E10BC2">
        <w:rPr>
          <w:rFonts w:ascii="Times New Roman" w:hAnsi="Times New Roman" w:cs="Times New Roman" w:hint="eastAsia"/>
          <w:sz w:val="20"/>
          <w:szCs w:val="21"/>
        </w:rPr>
        <w:t>the term 'fundamental right,' to which anxious scrutiny specifically applies, involves some uncertainty</w:t>
      </w:r>
      <w:r w:rsidR="00E10BC2">
        <w:rPr>
          <w:rFonts w:ascii="Times New Roman" w:hAnsi="Times New Roman" w:cs="Times New Roman" w:hint="eastAsia"/>
          <w:sz w:val="20"/>
          <w:szCs w:val="21"/>
        </w:rPr>
        <w:t xml:space="preserve">. </w:t>
      </w:r>
      <w:r w:rsidRPr="007F58AD">
        <w:rPr>
          <w:rFonts w:ascii="Times New Roman" w:hAnsi="Times New Roman" w:cs="Times New Roman" w:hint="eastAsia"/>
          <w:sz w:val="20"/>
          <w:szCs w:val="21"/>
        </w:rPr>
        <w:t>In Comilang v Director of Immigration</w:t>
      </w:r>
      <w:r>
        <w:rPr>
          <w:rStyle w:val="af4"/>
          <w:rFonts w:ascii="Times New Roman" w:hAnsi="Times New Roman" w:cs="Times New Roman"/>
          <w:sz w:val="20"/>
          <w:szCs w:val="21"/>
        </w:rPr>
        <w:footnoteReference w:id="22"/>
      </w:r>
      <w:r w:rsidRPr="007F58AD">
        <w:rPr>
          <w:rFonts w:ascii="Times New Roman" w:hAnsi="Times New Roman" w:cs="Times New Roman" w:hint="eastAsia"/>
          <w:sz w:val="20"/>
          <w:szCs w:val="21"/>
        </w:rPr>
        <w:t>, the Court of Appeal confined anxious scrutiny to "non-</w:t>
      </w:r>
      <w:proofErr w:type="spellStart"/>
      <w:r w:rsidRPr="007F58AD">
        <w:rPr>
          <w:rFonts w:ascii="Times New Roman" w:hAnsi="Times New Roman" w:cs="Times New Roman" w:hint="eastAsia"/>
          <w:sz w:val="20"/>
          <w:szCs w:val="21"/>
        </w:rPr>
        <w:t>derogable</w:t>
      </w:r>
      <w:proofErr w:type="spellEnd"/>
      <w:r w:rsidRPr="007F58AD">
        <w:rPr>
          <w:rFonts w:ascii="Times New Roman" w:hAnsi="Times New Roman" w:cs="Times New Roman" w:hint="eastAsia"/>
          <w:sz w:val="20"/>
          <w:szCs w:val="21"/>
        </w:rPr>
        <w:t xml:space="preserve"> and absolute rights," rejecting its application to family unity claims. Conversely, in </w:t>
      </w:r>
      <w:proofErr w:type="spellStart"/>
      <w:r w:rsidRPr="007F58AD">
        <w:rPr>
          <w:rFonts w:ascii="Times New Roman" w:hAnsi="Times New Roman" w:cs="Times New Roman" w:hint="eastAsia"/>
          <w:sz w:val="20"/>
          <w:szCs w:val="21"/>
        </w:rPr>
        <w:t>Pagtama</w:t>
      </w:r>
      <w:proofErr w:type="spellEnd"/>
      <w:r w:rsidRPr="007F58AD">
        <w:rPr>
          <w:rFonts w:ascii="Times New Roman" w:hAnsi="Times New Roman" w:cs="Times New Roman" w:hint="eastAsia"/>
          <w:sz w:val="20"/>
          <w:szCs w:val="21"/>
        </w:rPr>
        <w:t xml:space="preserve"> v Director of Immigration</w:t>
      </w:r>
      <w:r>
        <w:rPr>
          <w:rStyle w:val="af4"/>
          <w:rFonts w:ascii="Times New Roman" w:hAnsi="Times New Roman" w:cs="Times New Roman"/>
          <w:sz w:val="20"/>
          <w:szCs w:val="21"/>
        </w:rPr>
        <w:footnoteReference w:id="23"/>
      </w:r>
      <w:r w:rsidRPr="007F58AD">
        <w:rPr>
          <w:rFonts w:ascii="Times New Roman" w:hAnsi="Times New Roman" w:cs="Times New Roman" w:hint="eastAsia"/>
          <w:sz w:val="20"/>
          <w:szCs w:val="21"/>
        </w:rPr>
        <w:t>, Au J tied scrutiny to the "grave and adverse impact" of decisions. This divergence creates confusion over which interests warrant heightened review</w:t>
      </w:r>
      <w:r w:rsidR="00975F0C">
        <w:rPr>
          <w:rFonts w:ascii="Times New Roman" w:hAnsi="Times New Roman" w:cs="Times New Roman" w:hint="eastAsia"/>
          <w:sz w:val="20"/>
          <w:szCs w:val="21"/>
        </w:rPr>
        <w:t>.</w:t>
      </w:r>
    </w:p>
    <w:p w14:paraId="1742A99D" w14:textId="5CEBAA4B" w:rsidR="00A15197" w:rsidRPr="00E66413" w:rsidRDefault="002D76C8" w:rsidP="00A15197">
      <w:pPr>
        <w:rPr>
          <w:rFonts w:ascii="Times New Roman" w:hAnsi="Times New Roman" w:cs="Times New Roman"/>
          <w:sz w:val="20"/>
          <w:szCs w:val="21"/>
        </w:rPr>
      </w:pPr>
      <w:r>
        <w:rPr>
          <w:rFonts w:ascii="Times New Roman" w:hAnsi="Times New Roman" w:cs="Times New Roman" w:hint="eastAsia"/>
          <w:sz w:val="20"/>
          <w:szCs w:val="21"/>
        </w:rPr>
        <w:t xml:space="preserve">It is practically clear that when constitutional </w:t>
      </w:r>
      <w:r w:rsidR="003D73E6">
        <w:rPr>
          <w:rFonts w:ascii="Times New Roman" w:hAnsi="Times New Roman" w:cs="Times New Roman"/>
          <w:sz w:val="20"/>
          <w:szCs w:val="21"/>
        </w:rPr>
        <w:t>rights are</w:t>
      </w:r>
      <w:r>
        <w:rPr>
          <w:rFonts w:ascii="Times New Roman" w:hAnsi="Times New Roman" w:cs="Times New Roman" w:hint="eastAsia"/>
          <w:sz w:val="20"/>
          <w:szCs w:val="21"/>
        </w:rPr>
        <w:t xml:space="preserve"> at stake, </w:t>
      </w:r>
      <w:r>
        <w:rPr>
          <w:rFonts w:ascii="Times New Roman" w:hAnsi="Times New Roman" w:cs="Times New Roman"/>
          <w:sz w:val="20"/>
          <w:szCs w:val="21"/>
        </w:rPr>
        <w:t>proportionality</w:t>
      </w:r>
      <w:r>
        <w:rPr>
          <w:rFonts w:ascii="Times New Roman" w:hAnsi="Times New Roman" w:cs="Times New Roman" w:hint="eastAsia"/>
          <w:sz w:val="20"/>
          <w:szCs w:val="21"/>
        </w:rPr>
        <w:t xml:space="preserve"> test is to be applied</w:t>
      </w:r>
      <w:r w:rsidR="00BE1C8C">
        <w:rPr>
          <w:rFonts w:ascii="Times New Roman" w:hAnsi="Times New Roman" w:cs="Times New Roman" w:hint="eastAsia"/>
          <w:sz w:val="20"/>
          <w:szCs w:val="21"/>
        </w:rPr>
        <w:t xml:space="preserve">. However, </w:t>
      </w:r>
      <w:r>
        <w:rPr>
          <w:rFonts w:ascii="Times New Roman" w:hAnsi="Times New Roman" w:cs="Times New Roman" w:hint="eastAsia"/>
          <w:sz w:val="20"/>
          <w:szCs w:val="21"/>
        </w:rPr>
        <w:t xml:space="preserve">when the right </w:t>
      </w:r>
      <w:r w:rsidRPr="002D76C8">
        <w:rPr>
          <w:rFonts w:ascii="Times New Roman" w:hAnsi="Times New Roman" w:cs="Times New Roman" w:hint="eastAsia"/>
          <w:sz w:val="20"/>
          <w:szCs w:val="21"/>
        </w:rPr>
        <w:t>deroga</w:t>
      </w:r>
      <w:r>
        <w:rPr>
          <w:rFonts w:ascii="Times New Roman" w:hAnsi="Times New Roman" w:cs="Times New Roman" w:hint="eastAsia"/>
          <w:sz w:val="20"/>
          <w:szCs w:val="21"/>
        </w:rPr>
        <w:t>ted is a fundamental one, then the court would use anxious scrutiny</w:t>
      </w:r>
      <w:r w:rsidR="00BE1C8C">
        <w:rPr>
          <w:rFonts w:ascii="Times New Roman" w:hAnsi="Times New Roman" w:cs="Times New Roman" w:hint="eastAsia"/>
          <w:sz w:val="20"/>
          <w:szCs w:val="21"/>
        </w:rPr>
        <w:t xml:space="preserve">, which </w:t>
      </w:r>
      <w:r w:rsidRPr="002D76C8">
        <w:rPr>
          <w:rFonts w:ascii="Times New Roman" w:hAnsi="Times New Roman" w:cs="Times New Roman" w:hint="eastAsia"/>
          <w:sz w:val="20"/>
          <w:szCs w:val="21"/>
        </w:rPr>
        <w:t xml:space="preserve">can be disaggregated into several interrelated duties of the public authority, namely to give adequate reasons, to inquire and investigate whether an individual's claim should be approved, to consider and address those factors that are </w:t>
      </w:r>
      <w:r w:rsidRPr="002D76C8">
        <w:rPr>
          <w:rFonts w:ascii="Times New Roman" w:hAnsi="Times New Roman" w:cs="Times New Roman"/>
          <w:sz w:val="20"/>
          <w:szCs w:val="21"/>
        </w:rPr>
        <w:t>favorable</w:t>
      </w:r>
      <w:r w:rsidRPr="002D76C8">
        <w:rPr>
          <w:rFonts w:ascii="Times New Roman" w:hAnsi="Times New Roman" w:cs="Times New Roman" w:hint="eastAsia"/>
          <w:sz w:val="20"/>
          <w:szCs w:val="21"/>
        </w:rPr>
        <w:t xml:space="preserve"> to the individual, and to apply a high standard of fairness in procedural design.</w:t>
      </w:r>
      <w:r w:rsidR="00B03D62">
        <w:rPr>
          <w:rFonts w:ascii="Times New Roman" w:hAnsi="Times New Roman" w:cs="Times New Roman" w:hint="eastAsia"/>
          <w:sz w:val="20"/>
          <w:szCs w:val="21"/>
        </w:rPr>
        <w:t xml:space="preserve"> All these factors</w:t>
      </w:r>
      <w:r w:rsidR="003D73E6">
        <w:rPr>
          <w:rFonts w:ascii="Times New Roman" w:hAnsi="Times New Roman" w:cs="Times New Roman" w:hint="eastAsia"/>
          <w:sz w:val="20"/>
          <w:szCs w:val="21"/>
        </w:rPr>
        <w:t xml:space="preserve"> give the court </w:t>
      </w:r>
      <w:r w:rsidR="00B03D62">
        <w:rPr>
          <w:rFonts w:ascii="Times New Roman" w:hAnsi="Times New Roman" w:cs="Times New Roman" w:hint="eastAsia"/>
          <w:sz w:val="20"/>
          <w:szCs w:val="21"/>
        </w:rPr>
        <w:t>a high level of discretion</w:t>
      </w:r>
      <w:r w:rsidR="00E66413">
        <w:rPr>
          <w:rFonts w:ascii="Times New Roman" w:hAnsi="Times New Roman" w:cs="Times New Roman" w:hint="eastAsia"/>
          <w:sz w:val="20"/>
          <w:szCs w:val="21"/>
        </w:rPr>
        <w:t xml:space="preserve">, which </w:t>
      </w:r>
      <w:r w:rsidR="00E66413">
        <w:rPr>
          <w:rFonts w:ascii="Times New Roman" w:hAnsi="Times New Roman" w:cs="Times New Roman"/>
          <w:sz w:val="20"/>
          <w:szCs w:val="21"/>
        </w:rPr>
        <w:t>sometimes</w:t>
      </w:r>
      <w:r w:rsidR="00E66413">
        <w:rPr>
          <w:rFonts w:ascii="Times New Roman" w:hAnsi="Times New Roman" w:cs="Times New Roman" w:hint="eastAsia"/>
          <w:sz w:val="20"/>
          <w:szCs w:val="21"/>
        </w:rPr>
        <w:t xml:space="preserve"> causes uncertainty of decision </w:t>
      </w:r>
      <w:r w:rsidR="00E86E1C">
        <w:rPr>
          <w:rFonts w:ascii="Times New Roman" w:hAnsi="Times New Roman" w:cs="Times New Roman" w:hint="eastAsia"/>
          <w:sz w:val="20"/>
          <w:szCs w:val="21"/>
        </w:rPr>
        <w:t>or even</w:t>
      </w:r>
      <w:r w:rsidR="00E66413">
        <w:rPr>
          <w:rFonts w:ascii="Times New Roman" w:hAnsi="Times New Roman" w:cs="Times New Roman" w:hint="eastAsia"/>
          <w:sz w:val="20"/>
          <w:szCs w:val="21"/>
        </w:rPr>
        <w:t xml:space="preserve"> extends to judicial overreach</w:t>
      </w:r>
      <w:r w:rsidR="00E86E1C">
        <w:rPr>
          <w:rFonts w:ascii="Times New Roman" w:hAnsi="Times New Roman" w:cs="Times New Roman" w:hint="eastAsia"/>
          <w:sz w:val="20"/>
          <w:szCs w:val="21"/>
        </w:rPr>
        <w:t>.</w:t>
      </w:r>
    </w:p>
    <w:p w14:paraId="4ED0356D" w14:textId="680E3E97" w:rsidR="0025394E" w:rsidRPr="00EB11DE" w:rsidRDefault="00EF5148" w:rsidP="00B02FF6">
      <w:pPr>
        <w:rPr>
          <w:rFonts w:ascii="Times New Roman" w:hAnsi="Times New Roman" w:cs="Times New Roman"/>
          <w:sz w:val="20"/>
          <w:szCs w:val="21"/>
        </w:rPr>
      </w:pPr>
      <w:r w:rsidRPr="00EF5148">
        <w:rPr>
          <w:rFonts w:ascii="Times New Roman" w:hAnsi="Times New Roman" w:cs="Times New Roman" w:hint="eastAsia"/>
          <w:sz w:val="20"/>
          <w:szCs w:val="21"/>
        </w:rPr>
        <w:t>In conclusion</w:t>
      </w:r>
      <w:r w:rsidR="00887508">
        <w:rPr>
          <w:rFonts w:ascii="Times New Roman" w:hAnsi="Times New Roman" w:cs="Times New Roman" w:hint="eastAsia"/>
          <w:sz w:val="20"/>
          <w:szCs w:val="21"/>
        </w:rPr>
        <w:t xml:space="preserve">, I think the uncertainty within anxious scrutiny is more serious than that in legitimate </w:t>
      </w:r>
      <w:r w:rsidR="00887508">
        <w:rPr>
          <w:rFonts w:ascii="Times New Roman" w:hAnsi="Times New Roman" w:cs="Times New Roman" w:hint="eastAsia"/>
          <w:sz w:val="20"/>
          <w:szCs w:val="21"/>
        </w:rPr>
        <w:lastRenderedPageBreak/>
        <w:t xml:space="preserve">expectation. </w:t>
      </w:r>
      <w:r w:rsidR="00887508" w:rsidRPr="00887508">
        <w:rPr>
          <w:rFonts w:ascii="Times New Roman" w:hAnsi="Times New Roman" w:cs="Times New Roman" w:hint="eastAsia"/>
          <w:sz w:val="20"/>
          <w:szCs w:val="21"/>
        </w:rPr>
        <w:t>To mitigate uncertainty, courts should</w:t>
      </w:r>
      <w:r w:rsidR="00887508">
        <w:rPr>
          <w:rFonts w:ascii="Times New Roman" w:hAnsi="Times New Roman" w:cs="Times New Roman" w:hint="eastAsia"/>
          <w:sz w:val="20"/>
          <w:szCs w:val="21"/>
        </w:rPr>
        <w:t xml:space="preserve"> c</w:t>
      </w:r>
      <w:r w:rsidR="00887508" w:rsidRPr="00887508">
        <w:rPr>
          <w:rFonts w:ascii="Times New Roman" w:hAnsi="Times New Roman" w:cs="Times New Roman" w:hint="eastAsia"/>
          <w:sz w:val="20"/>
          <w:szCs w:val="21"/>
        </w:rPr>
        <w:t xml:space="preserve">larify </w:t>
      </w:r>
      <w:r w:rsidR="00010873">
        <w:rPr>
          <w:rFonts w:ascii="Times New Roman" w:hAnsi="Times New Roman" w:cs="Times New Roman" w:hint="eastAsia"/>
          <w:sz w:val="20"/>
          <w:szCs w:val="21"/>
        </w:rPr>
        <w:t>t</w:t>
      </w:r>
      <w:r w:rsidR="00887508" w:rsidRPr="00887508">
        <w:rPr>
          <w:rFonts w:ascii="Times New Roman" w:hAnsi="Times New Roman" w:cs="Times New Roman" w:hint="eastAsia"/>
          <w:sz w:val="20"/>
          <w:szCs w:val="21"/>
        </w:rPr>
        <w:t xml:space="preserve">hresholds for </w:t>
      </w:r>
      <w:r w:rsidR="00010873">
        <w:rPr>
          <w:rFonts w:ascii="Times New Roman" w:hAnsi="Times New Roman" w:cs="Times New Roman" w:hint="eastAsia"/>
          <w:sz w:val="20"/>
          <w:szCs w:val="21"/>
        </w:rPr>
        <w:t>a</w:t>
      </w:r>
      <w:r w:rsidR="00887508" w:rsidRPr="00887508">
        <w:rPr>
          <w:rFonts w:ascii="Times New Roman" w:hAnsi="Times New Roman" w:cs="Times New Roman" w:hint="eastAsia"/>
          <w:sz w:val="20"/>
          <w:szCs w:val="21"/>
        </w:rPr>
        <w:t xml:space="preserve">nxious </w:t>
      </w:r>
      <w:r w:rsidR="00010873">
        <w:rPr>
          <w:rFonts w:ascii="Times New Roman" w:hAnsi="Times New Roman" w:cs="Times New Roman" w:hint="eastAsia"/>
          <w:sz w:val="20"/>
          <w:szCs w:val="21"/>
        </w:rPr>
        <w:t>s</w:t>
      </w:r>
      <w:r w:rsidR="00887508" w:rsidRPr="00887508">
        <w:rPr>
          <w:rFonts w:ascii="Times New Roman" w:hAnsi="Times New Roman" w:cs="Times New Roman" w:hint="eastAsia"/>
          <w:sz w:val="20"/>
          <w:szCs w:val="21"/>
        </w:rPr>
        <w:t>crutiny</w:t>
      </w:r>
      <w:r w:rsidR="00010873">
        <w:rPr>
          <w:rFonts w:ascii="Times New Roman" w:hAnsi="Times New Roman" w:cs="Times New Roman" w:hint="eastAsia"/>
          <w:sz w:val="20"/>
          <w:szCs w:val="21"/>
        </w:rPr>
        <w:t>: d</w:t>
      </w:r>
      <w:r w:rsidR="00887508" w:rsidRPr="00887508">
        <w:rPr>
          <w:rFonts w:ascii="Times New Roman" w:hAnsi="Times New Roman" w:cs="Times New Roman" w:hint="eastAsia"/>
          <w:sz w:val="20"/>
          <w:szCs w:val="21"/>
        </w:rPr>
        <w:t>efine whether anxious scrutiny applies only to non-</w:t>
      </w:r>
      <w:proofErr w:type="spellStart"/>
      <w:r w:rsidR="00887508" w:rsidRPr="00887508">
        <w:rPr>
          <w:rFonts w:ascii="Times New Roman" w:hAnsi="Times New Roman" w:cs="Times New Roman" w:hint="eastAsia"/>
          <w:sz w:val="20"/>
          <w:szCs w:val="21"/>
        </w:rPr>
        <w:t>derogable</w:t>
      </w:r>
      <w:proofErr w:type="spellEnd"/>
      <w:r w:rsidR="00887508" w:rsidRPr="00887508">
        <w:rPr>
          <w:rFonts w:ascii="Times New Roman" w:hAnsi="Times New Roman" w:cs="Times New Roman" w:hint="eastAsia"/>
          <w:sz w:val="20"/>
          <w:szCs w:val="21"/>
        </w:rPr>
        <w:t xml:space="preserve"> </w:t>
      </w:r>
      <w:proofErr w:type="gramStart"/>
      <w:r w:rsidR="00887508" w:rsidRPr="00887508">
        <w:rPr>
          <w:rFonts w:ascii="Times New Roman" w:hAnsi="Times New Roman" w:cs="Times New Roman" w:hint="eastAsia"/>
          <w:sz w:val="20"/>
          <w:szCs w:val="21"/>
        </w:rPr>
        <w:t>rights</w:t>
      </w:r>
      <w:r w:rsidR="00010873">
        <w:rPr>
          <w:rFonts w:ascii="Times New Roman" w:hAnsi="Times New Roman" w:cs="Times New Roman" w:hint="eastAsia"/>
          <w:sz w:val="20"/>
          <w:szCs w:val="21"/>
        </w:rPr>
        <w:t>(</w:t>
      </w:r>
      <w:proofErr w:type="gramEnd"/>
      <w:r w:rsidR="00010873">
        <w:rPr>
          <w:rFonts w:ascii="Times New Roman" w:hAnsi="Times New Roman" w:cs="Times New Roman" w:hint="eastAsia"/>
          <w:sz w:val="20"/>
          <w:szCs w:val="21"/>
        </w:rPr>
        <w:t>or fundamental rights?)</w:t>
      </w:r>
      <w:r w:rsidR="00887508" w:rsidRPr="00887508">
        <w:rPr>
          <w:rFonts w:ascii="Times New Roman" w:hAnsi="Times New Roman" w:cs="Times New Roman" w:hint="eastAsia"/>
          <w:sz w:val="20"/>
          <w:szCs w:val="21"/>
        </w:rPr>
        <w:t xml:space="preserve"> or extends to decisions with grave societal impacts. The CFA in </w:t>
      </w:r>
      <w:proofErr w:type="spellStart"/>
      <w:r w:rsidR="00887508" w:rsidRPr="00887508">
        <w:rPr>
          <w:rFonts w:ascii="Times New Roman" w:hAnsi="Times New Roman" w:cs="Times New Roman" w:hint="eastAsia"/>
          <w:sz w:val="20"/>
          <w:szCs w:val="21"/>
        </w:rPr>
        <w:t>Harbour</w:t>
      </w:r>
      <w:proofErr w:type="spellEnd"/>
      <w:r w:rsidR="00887508" w:rsidRPr="00887508">
        <w:rPr>
          <w:rFonts w:ascii="Times New Roman" w:hAnsi="Times New Roman" w:cs="Times New Roman" w:hint="eastAsia"/>
          <w:sz w:val="20"/>
          <w:szCs w:val="21"/>
        </w:rPr>
        <w:t xml:space="preserve"> could have specified whether the "overriding public need" test aligns with proportionality or a modified Wednesbury standard.</w:t>
      </w:r>
      <w:r w:rsidR="00894333">
        <w:rPr>
          <w:rFonts w:ascii="Times New Roman" w:hAnsi="Times New Roman" w:cs="Times New Roman" w:hint="eastAsia"/>
          <w:sz w:val="20"/>
          <w:szCs w:val="21"/>
        </w:rPr>
        <w:t xml:space="preserve"> Secondly, j</w:t>
      </w:r>
      <w:r w:rsidR="00894333" w:rsidRPr="00894333">
        <w:rPr>
          <w:rFonts w:ascii="Times New Roman" w:hAnsi="Times New Roman" w:cs="Times New Roman" w:hint="eastAsia"/>
          <w:sz w:val="20"/>
          <w:szCs w:val="21"/>
        </w:rPr>
        <w:t>udges should explicitly outline how competing interests are balanced. In Hysan, Ribeiro PJ</w:t>
      </w:r>
      <w:proofErr w:type="gramStart"/>
      <w:r w:rsidR="00894333" w:rsidRPr="00894333">
        <w:rPr>
          <w:rFonts w:ascii="Times New Roman" w:hAnsi="Times New Roman" w:cs="Times New Roman" w:hint="eastAsia"/>
          <w:sz w:val="20"/>
          <w:szCs w:val="21"/>
        </w:rPr>
        <w:t>’</w:t>
      </w:r>
      <w:proofErr w:type="gramEnd"/>
      <w:r w:rsidR="00894333" w:rsidRPr="00894333">
        <w:rPr>
          <w:rFonts w:ascii="Times New Roman" w:hAnsi="Times New Roman" w:cs="Times New Roman" w:hint="eastAsia"/>
          <w:sz w:val="20"/>
          <w:szCs w:val="21"/>
        </w:rPr>
        <w:t>s four-stage proportionality test provided clarity for planning decisions. Similar frameworks for anxious scrutiny</w:t>
      </w:r>
      <w:r w:rsidR="00894333" w:rsidRPr="00894333">
        <w:rPr>
          <w:rFonts w:ascii="Times New Roman" w:hAnsi="Times New Roman" w:cs="Times New Roman" w:hint="eastAsia"/>
          <w:sz w:val="20"/>
          <w:szCs w:val="21"/>
        </w:rPr>
        <w:t>—</w:t>
      </w:r>
      <w:r w:rsidR="00894333" w:rsidRPr="00894333">
        <w:rPr>
          <w:rFonts w:ascii="Times New Roman" w:hAnsi="Times New Roman" w:cs="Times New Roman" w:hint="eastAsia"/>
          <w:sz w:val="20"/>
          <w:szCs w:val="21"/>
        </w:rPr>
        <w:t>e.g., requiring authorities to address risk levels, alternatives, and public interests</w:t>
      </w:r>
      <w:r w:rsidR="00894333" w:rsidRPr="00894333">
        <w:rPr>
          <w:rFonts w:ascii="Times New Roman" w:hAnsi="Times New Roman" w:cs="Times New Roman" w:hint="eastAsia"/>
          <w:sz w:val="20"/>
          <w:szCs w:val="21"/>
        </w:rPr>
        <w:t>—</w:t>
      </w:r>
      <w:r w:rsidR="00894333" w:rsidRPr="00894333">
        <w:rPr>
          <w:rFonts w:ascii="Times New Roman" w:hAnsi="Times New Roman" w:cs="Times New Roman" w:hint="eastAsia"/>
          <w:sz w:val="20"/>
          <w:szCs w:val="21"/>
        </w:rPr>
        <w:t>would reduce ambiguity (Ramsden, p. 367).</w:t>
      </w:r>
    </w:p>
    <w:sectPr w:rsidR="0025394E" w:rsidRPr="00EB1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22947" w14:textId="77777777" w:rsidR="00626BF0" w:rsidRDefault="00626BF0" w:rsidP="00691F07">
      <w:pPr>
        <w:spacing w:after="0" w:line="240" w:lineRule="auto"/>
        <w:rPr>
          <w:rFonts w:hint="eastAsia"/>
        </w:rPr>
      </w:pPr>
      <w:r>
        <w:separator/>
      </w:r>
    </w:p>
  </w:endnote>
  <w:endnote w:type="continuationSeparator" w:id="0">
    <w:p w14:paraId="5F51A936" w14:textId="77777777" w:rsidR="00626BF0" w:rsidRDefault="00626BF0" w:rsidP="00691F0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DD496" w14:textId="77777777" w:rsidR="00626BF0" w:rsidRDefault="00626BF0" w:rsidP="00691F07">
      <w:pPr>
        <w:spacing w:after="0" w:line="240" w:lineRule="auto"/>
        <w:rPr>
          <w:rFonts w:hint="eastAsia"/>
        </w:rPr>
      </w:pPr>
      <w:r>
        <w:separator/>
      </w:r>
    </w:p>
  </w:footnote>
  <w:footnote w:type="continuationSeparator" w:id="0">
    <w:p w14:paraId="4CCA5086" w14:textId="77777777" w:rsidR="00626BF0" w:rsidRDefault="00626BF0" w:rsidP="00691F07">
      <w:pPr>
        <w:spacing w:after="0" w:line="240" w:lineRule="auto"/>
        <w:rPr>
          <w:rFonts w:hint="eastAsia"/>
        </w:rPr>
      </w:pPr>
      <w:r>
        <w:continuationSeparator/>
      </w:r>
    </w:p>
  </w:footnote>
  <w:footnote w:id="1">
    <w:p w14:paraId="7B9B9A5B" w14:textId="77777777" w:rsidR="00717D5F" w:rsidRPr="00EB11DE" w:rsidRDefault="00717D5F" w:rsidP="00717D5F">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vertAlign w:val="superscript"/>
        </w:rPr>
        <w:t xml:space="preserve"> </w:t>
      </w:r>
      <w:r w:rsidRPr="00EB11DE">
        <w:rPr>
          <w:rFonts w:ascii="Times New Roman" w:hAnsi="Times New Roman" w:cs="Times New Roman"/>
          <w:sz w:val="15"/>
          <w:szCs w:val="15"/>
        </w:rPr>
        <w:t>Schmidt v Secretary of State for Home Affairs [1969] 2 Ch 149</w:t>
      </w:r>
    </w:p>
  </w:footnote>
  <w:footnote w:id="2">
    <w:p w14:paraId="3E398A58" w14:textId="4415D4ED" w:rsidR="008834AD" w:rsidRPr="00EB11DE" w:rsidRDefault="008834AD" w:rsidP="00BF0BF0">
      <w:pPr>
        <w:pStyle w:val="af2"/>
        <w:spacing w:line="240" w:lineRule="auto"/>
        <w:contextualSpacing/>
        <w:rPr>
          <w:rFonts w:ascii="Times New Roman" w:hAnsi="Times New Roman" w:cs="Times New Roman" w:hint="eastAsia"/>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vertAlign w:val="superscript"/>
        </w:rPr>
        <w:t xml:space="preserve"> </w:t>
      </w:r>
      <w:r w:rsidR="00717D5F">
        <w:rPr>
          <w:rFonts w:ascii="Times New Roman" w:hAnsi="Times New Roman" w:cs="Times New Roman" w:hint="eastAsia"/>
          <w:i/>
          <w:iCs/>
          <w:sz w:val="15"/>
          <w:szCs w:val="15"/>
        </w:rPr>
        <w:t>I</w:t>
      </w:r>
      <w:r w:rsidR="00717D5F" w:rsidRPr="00717D5F">
        <w:rPr>
          <w:rFonts w:ascii="Times New Roman" w:hAnsi="Times New Roman" w:cs="Times New Roman" w:hint="eastAsia"/>
          <w:i/>
          <w:iCs/>
          <w:sz w:val="15"/>
          <w:szCs w:val="15"/>
        </w:rPr>
        <w:t>bid</w:t>
      </w:r>
    </w:p>
  </w:footnote>
  <w:footnote w:id="3">
    <w:p w14:paraId="02F0D7F9" w14:textId="6DD360C1" w:rsidR="00BF0BF0" w:rsidRPr="00EB11DE" w:rsidRDefault="00BF0BF0" w:rsidP="00BF0BF0">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1A67D3">
        <w:rPr>
          <w:rFonts w:ascii="Times New Roman" w:hAnsi="Times New Roman" w:cs="Times New Roman"/>
          <w:sz w:val="15"/>
          <w:szCs w:val="15"/>
        </w:rPr>
        <w:t xml:space="preserve"> </w:t>
      </w:r>
      <w:r w:rsidRPr="00EB11DE">
        <w:rPr>
          <w:rFonts w:ascii="Times New Roman" w:hAnsi="Times New Roman" w:cs="Times New Roman"/>
          <w:i/>
          <w:iCs/>
          <w:sz w:val="15"/>
          <w:szCs w:val="15"/>
        </w:rPr>
        <w:t>Attorney-General of Hong Kong v Ng Yuen Shiu</w:t>
      </w:r>
      <w:r w:rsidRPr="00EB11DE">
        <w:rPr>
          <w:rFonts w:ascii="Times New Roman" w:hAnsi="Times New Roman" w:cs="Times New Roman"/>
          <w:sz w:val="15"/>
          <w:szCs w:val="15"/>
        </w:rPr>
        <w:t xml:space="preserve"> [1983] 2 AC 629</w:t>
      </w:r>
    </w:p>
  </w:footnote>
  <w:footnote w:id="4">
    <w:p w14:paraId="5FD618EF" w14:textId="77E71561" w:rsidR="003D235D" w:rsidRPr="00EB11DE" w:rsidRDefault="003D235D" w:rsidP="008D238A">
      <w:pPr>
        <w:pStyle w:val="af2"/>
        <w:spacing w:line="240" w:lineRule="auto"/>
        <w:contextualSpacing/>
        <w:rPr>
          <w:rFonts w:ascii="Times New Roman" w:hAnsi="Times New Roman" w:cs="Times New Roman"/>
          <w:i/>
          <w:iCs/>
          <w:sz w:val="15"/>
          <w:szCs w:val="15"/>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vertAlign w:val="superscript"/>
        </w:rPr>
        <w:t xml:space="preserve"> </w:t>
      </w:r>
      <w:r w:rsidRPr="00EB11DE">
        <w:rPr>
          <w:rFonts w:ascii="Times New Roman" w:hAnsi="Times New Roman" w:cs="Times New Roman"/>
          <w:i/>
          <w:iCs/>
          <w:sz w:val="15"/>
          <w:szCs w:val="15"/>
        </w:rPr>
        <w:t>R v Inland Revenue Commissioners, ex p MFK Underwriting Agents Ltd [1990] 1 WLR 1545</w:t>
      </w:r>
    </w:p>
  </w:footnote>
  <w:footnote w:id="5">
    <w:p w14:paraId="77758360" w14:textId="0C56DB96" w:rsidR="008D238A" w:rsidRPr="00EB11DE" w:rsidRDefault="008D238A" w:rsidP="00717D5F">
      <w:pPr>
        <w:pStyle w:val="af2"/>
        <w:adjustRightInd w:val="0"/>
        <w:spacing w:line="240" w:lineRule="auto"/>
        <w:contextualSpacing/>
        <w:rPr>
          <w:rFonts w:ascii="Times New Roman" w:hAnsi="Times New Roman" w:cs="Times New Roman"/>
          <w:sz w:val="15"/>
          <w:szCs w:val="15"/>
        </w:rPr>
      </w:pPr>
      <w:r w:rsidRPr="00B02FF6">
        <w:rPr>
          <w:rFonts w:ascii="Times New Roman" w:hAnsi="Times New Roman" w:cs="Times New Roman"/>
          <w:sz w:val="15"/>
          <w:szCs w:val="15"/>
          <w:vertAlign w:val="superscript"/>
        </w:rPr>
        <w:footnoteRef/>
      </w:r>
      <w:r w:rsidR="00717D5F">
        <w:rPr>
          <w:rFonts w:ascii="Times New Roman" w:hAnsi="Times New Roman" w:cs="Times New Roman" w:hint="eastAsia"/>
          <w:i/>
          <w:iCs/>
          <w:sz w:val="15"/>
          <w:szCs w:val="15"/>
        </w:rPr>
        <w:t xml:space="preserve"> </w:t>
      </w:r>
      <w:r w:rsidRPr="00EB11DE">
        <w:rPr>
          <w:rFonts w:ascii="Times New Roman" w:hAnsi="Times New Roman" w:cs="Times New Roman"/>
          <w:i/>
          <w:iCs/>
          <w:sz w:val="15"/>
          <w:szCs w:val="15"/>
        </w:rPr>
        <w:t>R v North and East Devon Health Authority, ex p Coughlan</w:t>
      </w:r>
      <w:r w:rsidRPr="00EB11DE">
        <w:rPr>
          <w:rFonts w:ascii="Times New Roman" w:hAnsi="Times New Roman" w:cs="Times New Roman"/>
          <w:sz w:val="15"/>
          <w:szCs w:val="15"/>
        </w:rPr>
        <w:t xml:space="preserve"> [2001] QB 213</w:t>
      </w:r>
    </w:p>
  </w:footnote>
  <w:footnote w:id="6">
    <w:p w14:paraId="75F44876" w14:textId="7B32B4B9" w:rsidR="00B02C34" w:rsidRDefault="00B02C34" w:rsidP="00717D5F">
      <w:pPr>
        <w:pStyle w:val="af2"/>
        <w:adjustRightInd w:val="0"/>
        <w:spacing w:line="240" w:lineRule="auto"/>
        <w:contextualSpacing/>
        <w:rPr>
          <w:rFonts w:hint="eastAsia"/>
        </w:rPr>
      </w:pPr>
      <w:r w:rsidRPr="00B02FF6">
        <w:rPr>
          <w:rFonts w:ascii="Times New Roman" w:hAnsi="Times New Roman" w:cs="Times New Roman" w:hint="eastAsia"/>
          <w:sz w:val="15"/>
          <w:szCs w:val="15"/>
          <w:vertAlign w:val="superscript"/>
        </w:rPr>
        <w:footnoteRef/>
      </w:r>
      <w:r w:rsidR="00717D5F">
        <w:rPr>
          <w:rFonts w:ascii="Times New Roman" w:hAnsi="Times New Roman" w:cs="Times New Roman" w:hint="eastAsia"/>
          <w:i/>
          <w:iCs/>
          <w:sz w:val="15"/>
          <w:szCs w:val="15"/>
          <w:vertAlign w:val="superscript"/>
        </w:rPr>
        <w:t xml:space="preserve"> </w:t>
      </w:r>
      <w:r w:rsidRPr="00B02C34">
        <w:rPr>
          <w:rFonts w:ascii="Times New Roman" w:hAnsi="Times New Roman" w:cs="Times New Roman" w:hint="eastAsia"/>
          <w:i/>
          <w:iCs/>
          <w:sz w:val="15"/>
          <w:szCs w:val="15"/>
        </w:rPr>
        <w:t xml:space="preserve">Ibid., </w:t>
      </w:r>
      <w:r w:rsidRPr="005B714B">
        <w:rPr>
          <w:rFonts w:ascii="Times New Roman" w:hAnsi="Times New Roman" w:cs="Times New Roman" w:hint="eastAsia"/>
          <w:sz w:val="15"/>
          <w:szCs w:val="15"/>
        </w:rPr>
        <w:t>at paras. 56, 57</w:t>
      </w:r>
    </w:p>
  </w:footnote>
  <w:footnote w:id="7">
    <w:p w14:paraId="07FB65A4" w14:textId="78F4839E" w:rsidR="0017772D" w:rsidRPr="00B02FF6" w:rsidRDefault="0017772D" w:rsidP="00717D5F">
      <w:pPr>
        <w:pStyle w:val="af2"/>
        <w:adjustRightInd w:val="0"/>
        <w:spacing w:line="240" w:lineRule="auto"/>
        <w:contextualSpacing/>
        <w:rPr>
          <w:rFonts w:ascii="Times New Roman" w:hAnsi="Times New Roman" w:cs="Times New Roman"/>
        </w:rPr>
      </w:pPr>
      <w:r w:rsidRPr="00B02FF6">
        <w:rPr>
          <w:rFonts w:ascii="Times New Roman" w:hAnsi="Times New Roman" w:cs="Times New Roman"/>
          <w:sz w:val="15"/>
          <w:szCs w:val="15"/>
          <w:vertAlign w:val="superscript"/>
        </w:rPr>
        <w:footnoteRef/>
      </w:r>
      <w:r w:rsidR="00717D5F">
        <w:rPr>
          <w:rFonts w:ascii="Times New Roman" w:hAnsi="Times New Roman" w:cs="Times New Roman" w:hint="eastAsia"/>
          <w:i/>
          <w:iCs/>
          <w:sz w:val="15"/>
          <w:szCs w:val="15"/>
        </w:rPr>
        <w:t xml:space="preserve"> </w:t>
      </w:r>
      <w:r w:rsidRPr="00B02FF6">
        <w:rPr>
          <w:rFonts w:ascii="Times New Roman" w:hAnsi="Times New Roman" w:cs="Times New Roman"/>
          <w:i/>
          <w:iCs/>
          <w:sz w:val="15"/>
          <w:szCs w:val="15"/>
        </w:rPr>
        <w:t xml:space="preserve">Ibid, </w:t>
      </w:r>
      <w:r w:rsidRPr="00B02FF6">
        <w:rPr>
          <w:rFonts w:ascii="Times New Roman" w:hAnsi="Times New Roman" w:cs="Times New Roman"/>
          <w:sz w:val="15"/>
          <w:szCs w:val="15"/>
        </w:rPr>
        <w:t>at para.71</w:t>
      </w:r>
    </w:p>
  </w:footnote>
  <w:footnote w:id="8">
    <w:p w14:paraId="703E611E" w14:textId="31528E27" w:rsidR="0079383C" w:rsidRPr="00B02FF6" w:rsidRDefault="0079383C" w:rsidP="00717D5F">
      <w:pPr>
        <w:pStyle w:val="af2"/>
        <w:adjustRightInd w:val="0"/>
        <w:spacing w:line="240" w:lineRule="auto"/>
        <w:contextualSpacing/>
        <w:rPr>
          <w:rFonts w:ascii="Times New Roman" w:hAnsi="Times New Roman" w:cs="Times New Roman"/>
          <w:i/>
          <w:iCs/>
          <w:sz w:val="15"/>
          <w:szCs w:val="15"/>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vertAlign w:val="superscript"/>
        </w:rPr>
        <w:t xml:space="preserve"> </w:t>
      </w:r>
      <w:r w:rsidRPr="00B02FF6">
        <w:rPr>
          <w:rFonts w:ascii="Times New Roman" w:hAnsi="Times New Roman" w:cs="Times New Roman"/>
          <w:i/>
          <w:iCs/>
          <w:sz w:val="15"/>
          <w:szCs w:val="15"/>
        </w:rPr>
        <w:t>R v Secretary of State for Education, ex p Begbie</w:t>
      </w:r>
      <w:r w:rsidRPr="00B02FF6">
        <w:rPr>
          <w:rFonts w:ascii="Times New Roman" w:hAnsi="Times New Roman" w:cs="Times New Roman"/>
          <w:sz w:val="15"/>
          <w:szCs w:val="15"/>
        </w:rPr>
        <w:t xml:space="preserve"> [2000] 1 WLR 1115</w:t>
      </w:r>
    </w:p>
  </w:footnote>
  <w:footnote w:id="9">
    <w:p w14:paraId="46FB8FA9" w14:textId="57EDABDB" w:rsidR="00EB11DE" w:rsidRPr="00B02FF6" w:rsidRDefault="00EB11DE" w:rsidP="00717D5F">
      <w:pPr>
        <w:pStyle w:val="af2"/>
        <w:adjustRightInd w:val="0"/>
        <w:spacing w:line="240" w:lineRule="auto"/>
        <w:contextualSpacing/>
        <w:rPr>
          <w:rFonts w:ascii="Times New Roman" w:hAnsi="Times New Roman" w:cs="Times New Roman"/>
          <w:i/>
          <w:iCs/>
          <w:sz w:val="15"/>
          <w:szCs w:val="15"/>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vertAlign w:val="superscript"/>
        </w:rPr>
        <w:t xml:space="preserve"> </w:t>
      </w:r>
      <w:r w:rsidRPr="00B02FF6">
        <w:rPr>
          <w:rFonts w:ascii="Times New Roman" w:hAnsi="Times New Roman" w:cs="Times New Roman"/>
          <w:i/>
          <w:iCs/>
          <w:sz w:val="15"/>
          <w:szCs w:val="15"/>
        </w:rPr>
        <w:t xml:space="preserve">R v Secretary of State for Education and Employment, Ex p Begbie </w:t>
      </w:r>
      <w:r w:rsidRPr="00B02FF6">
        <w:rPr>
          <w:rFonts w:ascii="Times New Roman" w:hAnsi="Times New Roman" w:cs="Times New Roman"/>
          <w:sz w:val="15"/>
          <w:szCs w:val="15"/>
        </w:rPr>
        <w:t>[2000] 1 WLR 1115, 1131</w:t>
      </w:r>
    </w:p>
  </w:footnote>
  <w:footnote w:id="10">
    <w:p w14:paraId="65B7A8FB" w14:textId="77777777" w:rsidR="005B714B" w:rsidRPr="00B02FF6" w:rsidRDefault="005B714B" w:rsidP="00717D5F">
      <w:pPr>
        <w:pStyle w:val="af2"/>
        <w:adjustRightInd w:val="0"/>
        <w:spacing w:line="240" w:lineRule="auto"/>
        <w:contextualSpacing/>
        <w:rPr>
          <w:rFonts w:ascii="Times New Roman" w:hAnsi="Times New Roman" w:cs="Times New Roman"/>
          <w:sz w:val="15"/>
          <w:szCs w:val="15"/>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vertAlign w:val="superscript"/>
        </w:rPr>
        <w:t xml:space="preserve"> </w:t>
      </w:r>
      <w:r w:rsidRPr="00B02FF6">
        <w:rPr>
          <w:rFonts w:ascii="Times New Roman" w:hAnsi="Times New Roman" w:cs="Times New Roman"/>
          <w:i/>
          <w:iCs/>
          <w:sz w:val="15"/>
          <w:szCs w:val="15"/>
        </w:rPr>
        <w:t xml:space="preserve">Associated Provincial Picture Houses v Wednesbury Corporation </w:t>
      </w:r>
      <w:r w:rsidRPr="00B02FF6">
        <w:rPr>
          <w:rFonts w:ascii="Times New Roman" w:hAnsi="Times New Roman" w:cs="Times New Roman"/>
          <w:sz w:val="15"/>
          <w:szCs w:val="15"/>
        </w:rPr>
        <w:t>[1948] 1 KB 223</w:t>
      </w:r>
    </w:p>
  </w:footnote>
  <w:footnote w:id="11">
    <w:p w14:paraId="42BF32E0" w14:textId="256EEA95" w:rsidR="001A67D3" w:rsidRPr="00B02FF6" w:rsidRDefault="001A67D3" w:rsidP="005B714B">
      <w:pPr>
        <w:pStyle w:val="af2"/>
        <w:spacing w:line="240" w:lineRule="auto"/>
        <w:contextualSpacing/>
        <w:rPr>
          <w:rFonts w:ascii="Times New Roman" w:hAnsi="Times New Roman" w:cs="Times New Roman"/>
        </w:rPr>
      </w:pPr>
      <w:r w:rsidRPr="00B02FF6">
        <w:rPr>
          <w:rFonts w:ascii="Times New Roman" w:hAnsi="Times New Roman" w:cs="Times New Roman"/>
          <w:sz w:val="15"/>
          <w:szCs w:val="15"/>
          <w:vertAlign w:val="superscript"/>
        </w:rPr>
        <w:footnoteRef/>
      </w:r>
      <w:r w:rsidR="00B02FF6">
        <w:rPr>
          <w:rFonts w:ascii="Times New Roman" w:hAnsi="Times New Roman" w:cs="Times New Roman" w:hint="eastAsia"/>
          <w:i/>
          <w:iCs/>
          <w:sz w:val="15"/>
          <w:szCs w:val="15"/>
        </w:rPr>
        <w:t xml:space="preserve"> </w:t>
      </w:r>
      <w:r w:rsidRPr="00B02FF6">
        <w:rPr>
          <w:rFonts w:ascii="Times New Roman" w:hAnsi="Times New Roman" w:cs="Times New Roman"/>
          <w:i/>
          <w:iCs/>
          <w:sz w:val="15"/>
          <w:szCs w:val="15"/>
        </w:rPr>
        <w:t>The United Policyholders Group and others v The Attorney General of Trinidad and Tobago (Trinidad and Tobago)</w:t>
      </w:r>
      <w:r w:rsidRPr="00B02FF6">
        <w:rPr>
          <w:rFonts w:ascii="Times New Roman" w:hAnsi="Times New Roman" w:cs="Times New Roman"/>
          <w:sz w:val="15"/>
          <w:szCs w:val="15"/>
        </w:rPr>
        <w:t xml:space="preserve"> [2016] UKPC 17</w:t>
      </w:r>
    </w:p>
  </w:footnote>
  <w:footnote w:id="12">
    <w:p w14:paraId="59E8198B" w14:textId="658DE3BC" w:rsidR="005B714B" w:rsidRPr="00B02FF6" w:rsidRDefault="005B714B" w:rsidP="005B714B">
      <w:pPr>
        <w:pStyle w:val="af2"/>
        <w:spacing w:line="240" w:lineRule="auto"/>
        <w:contextualSpacing/>
        <w:rPr>
          <w:rFonts w:ascii="Times New Roman" w:hAnsi="Times New Roman" w:cs="Times New Roman"/>
        </w:rPr>
      </w:pPr>
      <w:r w:rsidRPr="00B02FF6">
        <w:rPr>
          <w:rStyle w:val="af4"/>
          <w:rFonts w:ascii="Times New Roman" w:hAnsi="Times New Roman" w:cs="Times New Roman"/>
          <w:sz w:val="15"/>
          <w:szCs w:val="15"/>
        </w:rPr>
        <w:footnoteRef/>
      </w:r>
      <w:r w:rsidRPr="00B02FF6">
        <w:rPr>
          <w:rFonts w:ascii="Times New Roman" w:hAnsi="Times New Roman" w:cs="Times New Roman"/>
          <w:i/>
          <w:iCs/>
          <w:sz w:val="15"/>
          <w:szCs w:val="15"/>
        </w:rPr>
        <w:t xml:space="preserve"> Ibid, </w:t>
      </w:r>
      <w:r w:rsidRPr="00B02FF6">
        <w:rPr>
          <w:rFonts w:ascii="Times New Roman" w:hAnsi="Times New Roman" w:cs="Times New Roman"/>
          <w:sz w:val="15"/>
          <w:szCs w:val="15"/>
        </w:rPr>
        <w:t>at para.121</w:t>
      </w:r>
    </w:p>
  </w:footnote>
  <w:footnote w:id="13">
    <w:p w14:paraId="33243CF7" w14:textId="7F87C6BE" w:rsidR="002517D5" w:rsidRPr="00B02FF6" w:rsidRDefault="002517D5" w:rsidP="00B02FF6">
      <w:pPr>
        <w:pStyle w:val="af2"/>
        <w:spacing w:line="240" w:lineRule="auto"/>
        <w:contextualSpacing/>
        <w:rPr>
          <w:rFonts w:ascii="Times New Roman" w:hAnsi="Times New Roman" w:cs="Times New Roman"/>
          <w:sz w:val="15"/>
          <w:szCs w:val="15"/>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rPr>
        <w:t xml:space="preserve"> Ibid, </w:t>
      </w:r>
      <w:r w:rsidRPr="00B02FF6">
        <w:rPr>
          <w:rFonts w:ascii="Times New Roman" w:hAnsi="Times New Roman" w:cs="Times New Roman"/>
          <w:sz w:val="15"/>
          <w:szCs w:val="15"/>
        </w:rPr>
        <w:t>at p 1131</w:t>
      </w:r>
    </w:p>
  </w:footnote>
  <w:footnote w:id="14">
    <w:p w14:paraId="3425747B" w14:textId="5BFF16F4" w:rsidR="002D7D8A" w:rsidRPr="00B02FF6" w:rsidRDefault="002D7D8A"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vertAlign w:val="superscript"/>
        </w:rPr>
        <w:t xml:space="preserve"> </w:t>
      </w:r>
      <w:r w:rsidRPr="00B02FF6">
        <w:rPr>
          <w:rFonts w:ascii="Times New Roman" w:hAnsi="Times New Roman" w:cs="Times New Roman"/>
          <w:i/>
          <w:iCs/>
          <w:sz w:val="15"/>
          <w:szCs w:val="15"/>
        </w:rPr>
        <w:t>Associated Provincial Picture Houses Ltd v Wednesbury Corporation</w:t>
      </w:r>
      <w:r w:rsidRPr="00B02FF6">
        <w:rPr>
          <w:rFonts w:ascii="Times New Roman" w:hAnsi="Times New Roman" w:cs="Times New Roman"/>
          <w:sz w:val="15"/>
          <w:szCs w:val="15"/>
        </w:rPr>
        <w:t xml:space="preserve"> [1948] 1 KB 223</w:t>
      </w:r>
    </w:p>
  </w:footnote>
  <w:footnote w:id="15">
    <w:p w14:paraId="6D3D6DCA" w14:textId="10A1597E" w:rsidR="00FD0652" w:rsidRPr="00B02FF6" w:rsidRDefault="00FD0652"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vertAlign w:val="superscript"/>
        </w:rPr>
        <w:t xml:space="preserve"> </w:t>
      </w:r>
      <w:r w:rsidRPr="00B02FF6">
        <w:rPr>
          <w:rFonts w:ascii="Times New Roman" w:hAnsi="Times New Roman" w:cs="Times New Roman"/>
          <w:i/>
          <w:iCs/>
          <w:sz w:val="15"/>
          <w:szCs w:val="15"/>
        </w:rPr>
        <w:t xml:space="preserve">R v Home Secretary, ex p </w:t>
      </w:r>
      <w:proofErr w:type="spellStart"/>
      <w:r w:rsidRPr="00B02FF6">
        <w:rPr>
          <w:rFonts w:ascii="Times New Roman" w:hAnsi="Times New Roman" w:cs="Times New Roman"/>
          <w:i/>
          <w:iCs/>
          <w:sz w:val="15"/>
          <w:szCs w:val="15"/>
        </w:rPr>
        <w:t>Bugdaycay</w:t>
      </w:r>
      <w:proofErr w:type="spellEnd"/>
      <w:r w:rsidRPr="00B02FF6">
        <w:rPr>
          <w:rFonts w:ascii="Times New Roman" w:hAnsi="Times New Roman" w:cs="Times New Roman"/>
          <w:sz w:val="15"/>
          <w:szCs w:val="15"/>
        </w:rPr>
        <w:t xml:space="preserve"> [1987] 1 AC 514 (CA)</w:t>
      </w:r>
    </w:p>
  </w:footnote>
  <w:footnote w:id="16">
    <w:p w14:paraId="590A4EBE" w14:textId="358E1223"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w:t>
      </w:r>
      <w:r w:rsidRPr="00B02FF6">
        <w:rPr>
          <w:rFonts w:ascii="Times New Roman" w:hAnsi="Times New Roman" w:cs="Times New Roman"/>
          <w:i/>
          <w:iCs/>
          <w:sz w:val="15"/>
          <w:szCs w:val="15"/>
        </w:rPr>
        <w:t>Secretary for Security v Prabakar</w:t>
      </w:r>
      <w:r w:rsidRPr="00B02FF6">
        <w:rPr>
          <w:rFonts w:ascii="Times New Roman" w:hAnsi="Times New Roman" w:cs="Times New Roman"/>
          <w:sz w:val="15"/>
          <w:szCs w:val="15"/>
        </w:rPr>
        <w:t xml:space="preserve"> (2004) 7 HKCFAR 187</w:t>
      </w:r>
    </w:p>
  </w:footnote>
  <w:footnote w:id="17">
    <w:p w14:paraId="4A7216D8" w14:textId="2ABB58F4" w:rsidR="00A15197" w:rsidRDefault="00A15197" w:rsidP="00B02FF6">
      <w:pPr>
        <w:pStyle w:val="af2"/>
        <w:spacing w:line="240" w:lineRule="auto"/>
        <w:contextualSpacing/>
        <w:rPr>
          <w:rFonts w:hint="eastAsia"/>
        </w:rPr>
      </w:pPr>
      <w:r w:rsidRPr="00B02FF6">
        <w:rPr>
          <w:rFonts w:ascii="Times New Roman" w:hAnsi="Times New Roman" w:cs="Times New Roman"/>
          <w:sz w:val="15"/>
          <w:szCs w:val="15"/>
          <w:vertAlign w:val="superscript"/>
        </w:rPr>
        <w:footnoteRef/>
      </w:r>
      <w:r w:rsidRPr="00B02FF6">
        <w:rPr>
          <w:rFonts w:ascii="Times New Roman" w:hAnsi="Times New Roman" w:cs="Times New Roman"/>
          <w:i/>
          <w:iCs/>
          <w:sz w:val="15"/>
          <w:szCs w:val="15"/>
          <w:vertAlign w:val="superscript"/>
        </w:rPr>
        <w:t xml:space="preserve"> </w:t>
      </w:r>
      <w:r w:rsidRPr="00B02FF6">
        <w:rPr>
          <w:rFonts w:ascii="Times New Roman" w:hAnsi="Times New Roman" w:cs="Times New Roman"/>
          <w:i/>
          <w:iCs/>
          <w:sz w:val="15"/>
          <w:szCs w:val="15"/>
        </w:rPr>
        <w:t>Hysan Development Co Ltd v Town Planning Board</w:t>
      </w:r>
      <w:r w:rsidRPr="00B02FF6">
        <w:rPr>
          <w:rFonts w:ascii="Times New Roman" w:hAnsi="Times New Roman" w:cs="Times New Roman"/>
          <w:sz w:val="15"/>
          <w:szCs w:val="15"/>
        </w:rPr>
        <w:t xml:space="preserve"> (2016)</w:t>
      </w:r>
      <w:r w:rsidRPr="00B02FF6">
        <w:rPr>
          <w:rFonts w:ascii="Times New Roman" w:hAnsi="Times New Roman" w:cs="Times New Roman"/>
          <w:i/>
          <w:iCs/>
          <w:sz w:val="15"/>
          <w:szCs w:val="15"/>
        </w:rPr>
        <w:t xml:space="preserve"> </w:t>
      </w:r>
      <w:r w:rsidRPr="00B02FF6">
        <w:rPr>
          <w:rFonts w:ascii="Times New Roman" w:hAnsi="Times New Roman" w:cs="Times New Roman"/>
          <w:sz w:val="15"/>
          <w:szCs w:val="15"/>
        </w:rPr>
        <w:t>19 HKCFAR 372, para.62</w:t>
      </w:r>
    </w:p>
  </w:footnote>
  <w:footnote w:id="18">
    <w:p w14:paraId="6E32A149" w14:textId="5960BFBF"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A Sliding Scale of Reasonableness in Judicial Review (2006 Acta </w:t>
      </w:r>
      <w:proofErr w:type="spellStart"/>
      <w:r w:rsidRPr="00B02FF6">
        <w:rPr>
          <w:rFonts w:ascii="Times New Roman" w:hAnsi="Times New Roman" w:cs="Times New Roman"/>
          <w:sz w:val="15"/>
          <w:szCs w:val="15"/>
        </w:rPr>
        <w:t>Juridica</w:t>
      </w:r>
      <w:proofErr w:type="spellEnd"/>
      <w:r w:rsidRPr="00B02FF6">
        <w:rPr>
          <w:rFonts w:ascii="Times New Roman" w:hAnsi="Times New Roman" w:cs="Times New Roman"/>
          <w:sz w:val="15"/>
          <w:szCs w:val="15"/>
        </w:rPr>
        <w:t xml:space="preserve"> 233)</w:t>
      </w:r>
    </w:p>
  </w:footnote>
  <w:footnote w:id="19">
    <w:p w14:paraId="22E028EB" w14:textId="2B55190E"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w:t>
      </w:r>
      <w:r w:rsidRPr="00B02FF6">
        <w:rPr>
          <w:rFonts w:ascii="Times New Roman" w:hAnsi="Times New Roman" w:cs="Times New Roman"/>
          <w:i/>
          <w:iCs/>
          <w:sz w:val="15"/>
          <w:szCs w:val="15"/>
        </w:rPr>
        <w:t xml:space="preserve">Town Planning Board v Society for the Protection of the </w:t>
      </w:r>
      <w:proofErr w:type="spellStart"/>
      <w:r w:rsidRPr="00B02FF6">
        <w:rPr>
          <w:rFonts w:ascii="Times New Roman" w:hAnsi="Times New Roman" w:cs="Times New Roman"/>
          <w:i/>
          <w:iCs/>
          <w:sz w:val="15"/>
          <w:szCs w:val="15"/>
        </w:rPr>
        <w:t>Harbour</w:t>
      </w:r>
      <w:proofErr w:type="spellEnd"/>
      <w:r w:rsidRPr="00B02FF6">
        <w:rPr>
          <w:rFonts w:ascii="Times New Roman" w:hAnsi="Times New Roman" w:cs="Times New Roman"/>
          <w:sz w:val="15"/>
          <w:szCs w:val="15"/>
        </w:rPr>
        <w:t xml:space="preserve"> [2004] 1 HKLRD 396</w:t>
      </w:r>
    </w:p>
  </w:footnote>
  <w:footnote w:id="20">
    <w:p w14:paraId="6BD19924" w14:textId="4449213C"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Ibid, at p. 242</w:t>
      </w:r>
    </w:p>
  </w:footnote>
  <w:footnote w:id="21">
    <w:p w14:paraId="678D1C7E" w14:textId="78B1D5B7"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w:t>
      </w:r>
      <w:proofErr w:type="spellStart"/>
      <w:r w:rsidRPr="00B02FF6">
        <w:rPr>
          <w:rFonts w:ascii="Times New Roman" w:hAnsi="Times New Roman" w:cs="Times New Roman"/>
          <w:i/>
          <w:iCs/>
          <w:sz w:val="15"/>
          <w:szCs w:val="15"/>
        </w:rPr>
        <w:t>Harbour</w:t>
      </w:r>
      <w:proofErr w:type="spellEnd"/>
      <w:r w:rsidRPr="00B02FF6">
        <w:rPr>
          <w:rFonts w:ascii="Times New Roman" w:hAnsi="Times New Roman" w:cs="Times New Roman"/>
          <w:i/>
          <w:iCs/>
          <w:sz w:val="15"/>
          <w:szCs w:val="15"/>
        </w:rPr>
        <w:t xml:space="preserve"> v Chief Executive-in-Council</w:t>
      </w:r>
      <w:r w:rsidRPr="00B02FF6">
        <w:rPr>
          <w:rFonts w:ascii="Times New Roman" w:hAnsi="Times New Roman" w:cs="Times New Roman"/>
          <w:sz w:val="15"/>
          <w:szCs w:val="15"/>
        </w:rPr>
        <w:t xml:space="preserve"> (No 2) [2004] 2 HKLRD 902</w:t>
      </w:r>
    </w:p>
  </w:footnote>
  <w:footnote w:id="22">
    <w:p w14:paraId="1FF83F49" w14:textId="6FA8DC5F" w:rsidR="007F58AD" w:rsidRPr="00B02FF6" w:rsidRDefault="007F58AD" w:rsidP="00B02FF6">
      <w:pPr>
        <w:pStyle w:val="af2"/>
        <w:spacing w:line="240" w:lineRule="auto"/>
        <w:contextualSpacing/>
        <w:rPr>
          <w:rFonts w:ascii="Times New Roman" w:hAnsi="Times New Roman" w:cs="Times New Roman"/>
          <w:sz w:val="15"/>
          <w:szCs w:val="15"/>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w:t>
      </w:r>
      <w:r w:rsidRPr="00B02FF6">
        <w:rPr>
          <w:rFonts w:ascii="Times New Roman" w:hAnsi="Times New Roman" w:cs="Times New Roman"/>
          <w:i/>
          <w:iCs/>
          <w:sz w:val="15"/>
          <w:szCs w:val="15"/>
        </w:rPr>
        <w:t>Comilang v Director of Immigration</w:t>
      </w:r>
      <w:r w:rsidRPr="00B02FF6">
        <w:rPr>
          <w:rFonts w:ascii="Times New Roman" w:hAnsi="Times New Roman" w:cs="Times New Roman"/>
          <w:sz w:val="15"/>
          <w:szCs w:val="15"/>
        </w:rPr>
        <w:t xml:space="preserve"> [2018] 2 HKLRD 534</w:t>
      </w:r>
    </w:p>
  </w:footnote>
  <w:footnote w:id="23">
    <w:p w14:paraId="74512ED5" w14:textId="0E8D17DE" w:rsidR="007F58AD" w:rsidRDefault="007F58AD" w:rsidP="00B02FF6">
      <w:pPr>
        <w:pStyle w:val="af2"/>
        <w:spacing w:line="240" w:lineRule="auto"/>
        <w:contextualSpacing/>
        <w:rPr>
          <w:rFonts w:hint="eastAsia"/>
        </w:rPr>
      </w:pPr>
      <w:r w:rsidRPr="00B02FF6">
        <w:rPr>
          <w:rStyle w:val="af4"/>
          <w:rFonts w:ascii="Times New Roman" w:hAnsi="Times New Roman" w:cs="Times New Roman"/>
          <w:sz w:val="15"/>
          <w:szCs w:val="15"/>
        </w:rPr>
        <w:footnoteRef/>
      </w:r>
      <w:r w:rsidRPr="00B02FF6">
        <w:rPr>
          <w:rFonts w:ascii="Times New Roman" w:hAnsi="Times New Roman" w:cs="Times New Roman"/>
          <w:sz w:val="15"/>
          <w:szCs w:val="15"/>
        </w:rPr>
        <w:t xml:space="preserve"> </w:t>
      </w:r>
      <w:proofErr w:type="spellStart"/>
      <w:r w:rsidRPr="00B02FF6">
        <w:rPr>
          <w:rFonts w:ascii="Times New Roman" w:hAnsi="Times New Roman" w:cs="Times New Roman"/>
          <w:i/>
          <w:iCs/>
          <w:sz w:val="15"/>
          <w:szCs w:val="15"/>
        </w:rPr>
        <w:t>Pagtama</w:t>
      </w:r>
      <w:proofErr w:type="spellEnd"/>
      <w:r w:rsidRPr="00B02FF6">
        <w:rPr>
          <w:rFonts w:ascii="Times New Roman" w:hAnsi="Times New Roman" w:cs="Times New Roman"/>
          <w:i/>
          <w:iCs/>
          <w:sz w:val="15"/>
          <w:szCs w:val="15"/>
        </w:rPr>
        <w:t xml:space="preserve"> v Director of Immigration</w:t>
      </w:r>
      <w:r w:rsidRPr="00B02FF6">
        <w:rPr>
          <w:rFonts w:ascii="Times New Roman" w:hAnsi="Times New Roman" w:cs="Times New Roman"/>
          <w:sz w:val="15"/>
          <w:szCs w:val="15"/>
        </w:rPr>
        <w:t xml:space="preserve"> [2016] HKEC 85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AF"/>
    <w:rsid w:val="0000205F"/>
    <w:rsid w:val="00010873"/>
    <w:rsid w:val="0003403C"/>
    <w:rsid w:val="000720E4"/>
    <w:rsid w:val="000E04F8"/>
    <w:rsid w:val="0017772D"/>
    <w:rsid w:val="001A67D3"/>
    <w:rsid w:val="00202E61"/>
    <w:rsid w:val="002517D5"/>
    <w:rsid w:val="0025394E"/>
    <w:rsid w:val="002676C2"/>
    <w:rsid w:val="002816B7"/>
    <w:rsid w:val="002D76C8"/>
    <w:rsid w:val="002D7D8A"/>
    <w:rsid w:val="00345D20"/>
    <w:rsid w:val="003729DA"/>
    <w:rsid w:val="00383C45"/>
    <w:rsid w:val="00384530"/>
    <w:rsid w:val="003847D4"/>
    <w:rsid w:val="003D235D"/>
    <w:rsid w:val="003D73E6"/>
    <w:rsid w:val="003F7853"/>
    <w:rsid w:val="00422407"/>
    <w:rsid w:val="00437EA9"/>
    <w:rsid w:val="00446C4A"/>
    <w:rsid w:val="004515D8"/>
    <w:rsid w:val="004671FA"/>
    <w:rsid w:val="004B0F33"/>
    <w:rsid w:val="004B4FDE"/>
    <w:rsid w:val="0050531B"/>
    <w:rsid w:val="005302D6"/>
    <w:rsid w:val="005403DC"/>
    <w:rsid w:val="00575778"/>
    <w:rsid w:val="005838A9"/>
    <w:rsid w:val="005900B2"/>
    <w:rsid w:val="005B06B2"/>
    <w:rsid w:val="005B714B"/>
    <w:rsid w:val="005E0B90"/>
    <w:rsid w:val="005E1A77"/>
    <w:rsid w:val="005E6EB4"/>
    <w:rsid w:val="005F12A7"/>
    <w:rsid w:val="00600ED0"/>
    <w:rsid w:val="00604DE7"/>
    <w:rsid w:val="00622764"/>
    <w:rsid w:val="00626BF0"/>
    <w:rsid w:val="00672A34"/>
    <w:rsid w:val="00691F07"/>
    <w:rsid w:val="006B2C5C"/>
    <w:rsid w:val="006C5D97"/>
    <w:rsid w:val="006D1CB7"/>
    <w:rsid w:val="00706F3F"/>
    <w:rsid w:val="00717D5F"/>
    <w:rsid w:val="0074207F"/>
    <w:rsid w:val="0079383C"/>
    <w:rsid w:val="007F58AD"/>
    <w:rsid w:val="008040BB"/>
    <w:rsid w:val="008307A5"/>
    <w:rsid w:val="0087168D"/>
    <w:rsid w:val="008834AD"/>
    <w:rsid w:val="008837E2"/>
    <w:rsid w:val="00887508"/>
    <w:rsid w:val="0089141A"/>
    <w:rsid w:val="00891DB0"/>
    <w:rsid w:val="00894333"/>
    <w:rsid w:val="00896B9E"/>
    <w:rsid w:val="008D238A"/>
    <w:rsid w:val="008D31CB"/>
    <w:rsid w:val="009065D2"/>
    <w:rsid w:val="00935747"/>
    <w:rsid w:val="009741BD"/>
    <w:rsid w:val="00975F0C"/>
    <w:rsid w:val="009841ED"/>
    <w:rsid w:val="009A05F5"/>
    <w:rsid w:val="009C1C68"/>
    <w:rsid w:val="009C6614"/>
    <w:rsid w:val="009D469E"/>
    <w:rsid w:val="00A1337B"/>
    <w:rsid w:val="00A15197"/>
    <w:rsid w:val="00A2580D"/>
    <w:rsid w:val="00A65CCF"/>
    <w:rsid w:val="00A673A6"/>
    <w:rsid w:val="00A83436"/>
    <w:rsid w:val="00A85757"/>
    <w:rsid w:val="00AA51D9"/>
    <w:rsid w:val="00AC7F1D"/>
    <w:rsid w:val="00AD3B94"/>
    <w:rsid w:val="00AD5739"/>
    <w:rsid w:val="00AE68E9"/>
    <w:rsid w:val="00B02C34"/>
    <w:rsid w:val="00B02FF6"/>
    <w:rsid w:val="00B03D62"/>
    <w:rsid w:val="00BA6C00"/>
    <w:rsid w:val="00BE1C8C"/>
    <w:rsid w:val="00BF0BF0"/>
    <w:rsid w:val="00BF2A4C"/>
    <w:rsid w:val="00C1665D"/>
    <w:rsid w:val="00C23B10"/>
    <w:rsid w:val="00C82BCD"/>
    <w:rsid w:val="00CA6C96"/>
    <w:rsid w:val="00CC5C33"/>
    <w:rsid w:val="00D028EE"/>
    <w:rsid w:val="00D3432C"/>
    <w:rsid w:val="00D518F5"/>
    <w:rsid w:val="00D63F04"/>
    <w:rsid w:val="00DC4E93"/>
    <w:rsid w:val="00DD29AF"/>
    <w:rsid w:val="00E01894"/>
    <w:rsid w:val="00E10BC2"/>
    <w:rsid w:val="00E217A3"/>
    <w:rsid w:val="00E53CB7"/>
    <w:rsid w:val="00E66413"/>
    <w:rsid w:val="00E81341"/>
    <w:rsid w:val="00E86C5C"/>
    <w:rsid w:val="00E86E1C"/>
    <w:rsid w:val="00E97F96"/>
    <w:rsid w:val="00EA700F"/>
    <w:rsid w:val="00EB11DE"/>
    <w:rsid w:val="00EC0AA7"/>
    <w:rsid w:val="00ED0B9F"/>
    <w:rsid w:val="00ED15AB"/>
    <w:rsid w:val="00EF5148"/>
    <w:rsid w:val="00F24914"/>
    <w:rsid w:val="00F32FC1"/>
    <w:rsid w:val="00F8456F"/>
    <w:rsid w:val="00FC1A11"/>
    <w:rsid w:val="00FD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61CA4"/>
  <w15:chartTrackingRefBased/>
  <w15:docId w15:val="{5FC11A0C-6890-4649-AE9D-DCAD7B6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29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29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29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29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29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29A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29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29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29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29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29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29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29AF"/>
    <w:rPr>
      <w:rFonts w:cstheme="majorBidi"/>
      <w:color w:val="0F4761" w:themeColor="accent1" w:themeShade="BF"/>
      <w:sz w:val="28"/>
      <w:szCs w:val="28"/>
    </w:rPr>
  </w:style>
  <w:style w:type="character" w:customStyle="1" w:styleId="50">
    <w:name w:val="标题 5 字符"/>
    <w:basedOn w:val="a0"/>
    <w:link w:val="5"/>
    <w:uiPriority w:val="9"/>
    <w:semiHidden/>
    <w:rsid w:val="00DD29AF"/>
    <w:rPr>
      <w:rFonts w:cstheme="majorBidi"/>
      <w:color w:val="0F4761" w:themeColor="accent1" w:themeShade="BF"/>
      <w:sz w:val="24"/>
    </w:rPr>
  </w:style>
  <w:style w:type="character" w:customStyle="1" w:styleId="60">
    <w:name w:val="标题 6 字符"/>
    <w:basedOn w:val="a0"/>
    <w:link w:val="6"/>
    <w:uiPriority w:val="9"/>
    <w:semiHidden/>
    <w:rsid w:val="00DD29AF"/>
    <w:rPr>
      <w:rFonts w:cstheme="majorBidi"/>
      <w:b/>
      <w:bCs/>
      <w:color w:val="0F4761" w:themeColor="accent1" w:themeShade="BF"/>
    </w:rPr>
  </w:style>
  <w:style w:type="character" w:customStyle="1" w:styleId="70">
    <w:name w:val="标题 7 字符"/>
    <w:basedOn w:val="a0"/>
    <w:link w:val="7"/>
    <w:uiPriority w:val="9"/>
    <w:semiHidden/>
    <w:rsid w:val="00DD29AF"/>
    <w:rPr>
      <w:rFonts w:cstheme="majorBidi"/>
      <w:b/>
      <w:bCs/>
      <w:color w:val="595959" w:themeColor="text1" w:themeTint="A6"/>
    </w:rPr>
  </w:style>
  <w:style w:type="character" w:customStyle="1" w:styleId="80">
    <w:name w:val="标题 8 字符"/>
    <w:basedOn w:val="a0"/>
    <w:link w:val="8"/>
    <w:uiPriority w:val="9"/>
    <w:semiHidden/>
    <w:rsid w:val="00DD29AF"/>
    <w:rPr>
      <w:rFonts w:cstheme="majorBidi"/>
      <w:color w:val="595959" w:themeColor="text1" w:themeTint="A6"/>
    </w:rPr>
  </w:style>
  <w:style w:type="character" w:customStyle="1" w:styleId="90">
    <w:name w:val="标题 9 字符"/>
    <w:basedOn w:val="a0"/>
    <w:link w:val="9"/>
    <w:uiPriority w:val="9"/>
    <w:semiHidden/>
    <w:rsid w:val="00DD29AF"/>
    <w:rPr>
      <w:rFonts w:eastAsiaTheme="majorEastAsia" w:cstheme="majorBidi"/>
      <w:color w:val="595959" w:themeColor="text1" w:themeTint="A6"/>
    </w:rPr>
  </w:style>
  <w:style w:type="paragraph" w:styleId="a3">
    <w:name w:val="Title"/>
    <w:basedOn w:val="a"/>
    <w:next w:val="a"/>
    <w:link w:val="a4"/>
    <w:uiPriority w:val="10"/>
    <w:qFormat/>
    <w:rsid w:val="00DD29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29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29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29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29AF"/>
    <w:pPr>
      <w:spacing w:before="160"/>
      <w:jc w:val="center"/>
    </w:pPr>
    <w:rPr>
      <w:i/>
      <w:iCs/>
      <w:color w:val="404040" w:themeColor="text1" w:themeTint="BF"/>
    </w:rPr>
  </w:style>
  <w:style w:type="character" w:customStyle="1" w:styleId="a8">
    <w:name w:val="引用 字符"/>
    <w:basedOn w:val="a0"/>
    <w:link w:val="a7"/>
    <w:uiPriority w:val="29"/>
    <w:rsid w:val="00DD29AF"/>
    <w:rPr>
      <w:i/>
      <w:iCs/>
      <w:color w:val="404040" w:themeColor="text1" w:themeTint="BF"/>
    </w:rPr>
  </w:style>
  <w:style w:type="paragraph" w:styleId="a9">
    <w:name w:val="List Paragraph"/>
    <w:basedOn w:val="a"/>
    <w:uiPriority w:val="34"/>
    <w:qFormat/>
    <w:rsid w:val="00DD29AF"/>
    <w:pPr>
      <w:ind w:left="720"/>
      <w:contextualSpacing/>
    </w:pPr>
  </w:style>
  <w:style w:type="character" w:styleId="aa">
    <w:name w:val="Intense Emphasis"/>
    <w:basedOn w:val="a0"/>
    <w:uiPriority w:val="21"/>
    <w:qFormat/>
    <w:rsid w:val="00DD29AF"/>
    <w:rPr>
      <w:i/>
      <w:iCs/>
      <w:color w:val="0F4761" w:themeColor="accent1" w:themeShade="BF"/>
    </w:rPr>
  </w:style>
  <w:style w:type="paragraph" w:styleId="ab">
    <w:name w:val="Intense Quote"/>
    <w:basedOn w:val="a"/>
    <w:next w:val="a"/>
    <w:link w:val="ac"/>
    <w:uiPriority w:val="30"/>
    <w:qFormat/>
    <w:rsid w:val="00DD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29AF"/>
    <w:rPr>
      <w:i/>
      <w:iCs/>
      <w:color w:val="0F4761" w:themeColor="accent1" w:themeShade="BF"/>
    </w:rPr>
  </w:style>
  <w:style w:type="character" w:styleId="ad">
    <w:name w:val="Intense Reference"/>
    <w:basedOn w:val="a0"/>
    <w:uiPriority w:val="32"/>
    <w:qFormat/>
    <w:rsid w:val="00DD29AF"/>
    <w:rPr>
      <w:b/>
      <w:bCs/>
      <w:smallCaps/>
      <w:color w:val="0F4761" w:themeColor="accent1" w:themeShade="BF"/>
      <w:spacing w:val="5"/>
    </w:rPr>
  </w:style>
  <w:style w:type="paragraph" w:styleId="ae">
    <w:name w:val="header"/>
    <w:basedOn w:val="a"/>
    <w:link w:val="af"/>
    <w:uiPriority w:val="99"/>
    <w:unhideWhenUsed/>
    <w:rsid w:val="00691F0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91F07"/>
    <w:rPr>
      <w:sz w:val="18"/>
      <w:szCs w:val="18"/>
    </w:rPr>
  </w:style>
  <w:style w:type="paragraph" w:styleId="af0">
    <w:name w:val="footer"/>
    <w:basedOn w:val="a"/>
    <w:link w:val="af1"/>
    <w:uiPriority w:val="99"/>
    <w:unhideWhenUsed/>
    <w:rsid w:val="00691F0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91F07"/>
    <w:rPr>
      <w:sz w:val="18"/>
      <w:szCs w:val="18"/>
    </w:rPr>
  </w:style>
  <w:style w:type="paragraph" w:styleId="af2">
    <w:name w:val="footnote text"/>
    <w:basedOn w:val="a"/>
    <w:link w:val="af3"/>
    <w:uiPriority w:val="99"/>
    <w:semiHidden/>
    <w:unhideWhenUsed/>
    <w:rsid w:val="008834AD"/>
    <w:pPr>
      <w:snapToGrid w:val="0"/>
    </w:pPr>
    <w:rPr>
      <w:sz w:val="18"/>
      <w:szCs w:val="18"/>
    </w:rPr>
  </w:style>
  <w:style w:type="character" w:customStyle="1" w:styleId="af3">
    <w:name w:val="脚注文本 字符"/>
    <w:basedOn w:val="a0"/>
    <w:link w:val="af2"/>
    <w:uiPriority w:val="99"/>
    <w:semiHidden/>
    <w:rsid w:val="008834AD"/>
    <w:rPr>
      <w:sz w:val="18"/>
      <w:szCs w:val="18"/>
    </w:rPr>
  </w:style>
  <w:style w:type="character" w:styleId="af4">
    <w:name w:val="footnote reference"/>
    <w:basedOn w:val="a0"/>
    <w:uiPriority w:val="99"/>
    <w:semiHidden/>
    <w:unhideWhenUsed/>
    <w:rsid w:val="00883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54728">
      <w:bodyDiv w:val="1"/>
      <w:marLeft w:val="0"/>
      <w:marRight w:val="0"/>
      <w:marTop w:val="0"/>
      <w:marBottom w:val="0"/>
      <w:divBdr>
        <w:top w:val="none" w:sz="0" w:space="0" w:color="auto"/>
        <w:left w:val="none" w:sz="0" w:space="0" w:color="auto"/>
        <w:bottom w:val="none" w:sz="0" w:space="0" w:color="auto"/>
        <w:right w:val="none" w:sz="0" w:space="0" w:color="auto"/>
      </w:divBdr>
    </w:div>
    <w:div w:id="94407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D13E-85E4-40E4-8B51-CBFC1CDE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5</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102</cp:revision>
  <dcterms:created xsi:type="dcterms:W3CDTF">2025-04-08T14:10:00Z</dcterms:created>
  <dcterms:modified xsi:type="dcterms:W3CDTF">2025-04-10T22:39:00Z</dcterms:modified>
</cp:coreProperties>
</file>