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EB2E2" w14:textId="77777777" w:rsidR="009C4FCE" w:rsidRDefault="009C4FCE" w:rsidP="009C4FCE">
      <w:pPr>
        <w:adjustRightInd w:val="0"/>
        <w:snapToGrid w:val="0"/>
        <w:spacing w:after="0" w:line="240" w:lineRule="auto"/>
        <w:contextualSpacing/>
        <w:rPr>
          <w:rFonts w:hint="eastAsia"/>
        </w:rPr>
      </w:pPr>
    </w:p>
    <w:p w14:paraId="49B16649" w14:textId="77777777" w:rsidR="009C4FCE" w:rsidRDefault="009C4FCE" w:rsidP="009C4FCE">
      <w:pPr>
        <w:adjustRightInd w:val="0"/>
        <w:snapToGrid w:val="0"/>
        <w:spacing w:after="0" w:line="240" w:lineRule="auto"/>
        <w:contextualSpacing/>
        <w:rPr>
          <w:rFonts w:hint="eastAsia"/>
        </w:rPr>
      </w:pPr>
      <w:r>
        <w:rPr>
          <w:rFonts w:hint="eastAsia"/>
        </w:rPr>
        <w:t>1.</w:t>
      </w:r>
      <w:r>
        <w:rPr>
          <w:rFonts w:hint="eastAsia"/>
        </w:rPr>
        <w:tab/>
        <w:t>Introduction</w:t>
      </w:r>
    </w:p>
    <w:p w14:paraId="35ADE4B9" w14:textId="77777777" w:rsidR="009C4FCE" w:rsidRDefault="009C4FCE" w:rsidP="009C4FCE">
      <w:pPr>
        <w:adjustRightInd w:val="0"/>
        <w:snapToGrid w:val="0"/>
        <w:spacing w:after="0" w:line="240" w:lineRule="auto"/>
        <w:contextualSpacing/>
        <w:rPr>
          <w:rFonts w:hint="eastAsia"/>
        </w:rPr>
      </w:pPr>
      <w:r>
        <w:rPr>
          <w:rFonts w:hint="eastAsia"/>
        </w:rPr>
        <w:t>•</w:t>
      </w:r>
      <w:r>
        <w:rPr>
          <w:rFonts w:hint="eastAsia"/>
        </w:rPr>
        <w:tab/>
        <w:t xml:space="preserve">Definition of administrative law </w:t>
      </w:r>
    </w:p>
    <w:p w14:paraId="6B2C5DC1" w14:textId="77777777" w:rsidR="009C4FCE" w:rsidRDefault="009C4FCE" w:rsidP="009C4FCE">
      <w:pPr>
        <w:adjustRightInd w:val="0"/>
        <w:snapToGrid w:val="0"/>
        <w:spacing w:after="0" w:line="240" w:lineRule="auto"/>
        <w:contextualSpacing/>
        <w:rPr>
          <w:rFonts w:hint="eastAsia"/>
        </w:rPr>
      </w:pPr>
      <w:r>
        <w:rPr>
          <w:rFonts w:hint="eastAsia"/>
        </w:rPr>
        <w:t>*Wade &amp; Forsyth, Administrative Law, 11th ed., pp. 4-5</w:t>
      </w:r>
    </w:p>
    <w:p w14:paraId="779E0700" w14:textId="68FB51DA" w:rsidR="009C4FCE" w:rsidRDefault="009C4FCE" w:rsidP="009C4FCE">
      <w:pPr>
        <w:adjustRightInd w:val="0"/>
        <w:snapToGrid w:val="0"/>
        <w:spacing w:after="0" w:line="240" w:lineRule="auto"/>
        <w:contextualSpacing/>
        <w:rPr>
          <w:rFonts w:hint="eastAsia"/>
        </w:rPr>
      </w:pPr>
      <w:r>
        <w:rPr>
          <w:rFonts w:hint="eastAsia"/>
        </w:rPr>
        <w:t>*Jhaveri, Ramsden &amp; Scully-Hill, Administrative Law in Hong Kong, 2nd ed., pp7-8, 41-86</w:t>
      </w:r>
    </w:p>
    <w:p w14:paraId="047F8570" w14:textId="77777777" w:rsidR="009C4FCE" w:rsidRDefault="009C4FCE" w:rsidP="009C4FCE">
      <w:pPr>
        <w:adjustRightInd w:val="0"/>
        <w:snapToGrid w:val="0"/>
        <w:spacing w:after="0" w:line="240" w:lineRule="auto"/>
        <w:contextualSpacing/>
        <w:rPr>
          <w:rFonts w:hint="eastAsia"/>
        </w:rPr>
      </w:pPr>
      <w:r>
        <w:rPr>
          <w:rFonts w:hint="eastAsia"/>
        </w:rPr>
        <w:t>•</w:t>
      </w:r>
      <w:r>
        <w:rPr>
          <w:rFonts w:hint="eastAsia"/>
        </w:rPr>
        <w:tab/>
        <w:t xml:space="preserve">Purposes of administrative law </w:t>
      </w:r>
    </w:p>
    <w:p w14:paraId="2B2EC5AC" w14:textId="77777777" w:rsidR="009C4FCE" w:rsidRDefault="009C4FCE" w:rsidP="009C4FCE">
      <w:pPr>
        <w:adjustRightInd w:val="0"/>
        <w:snapToGrid w:val="0"/>
        <w:spacing w:after="0" w:line="240" w:lineRule="auto"/>
        <w:contextualSpacing/>
        <w:rPr>
          <w:rFonts w:hint="eastAsia"/>
        </w:rPr>
      </w:pPr>
      <w:r>
        <w:rPr>
          <w:rFonts w:hint="eastAsia"/>
        </w:rPr>
        <w:t>*Jhaveri, Ramsden &amp; Scully-Hill pp1-8 (6)</w:t>
      </w:r>
    </w:p>
    <w:p w14:paraId="3C6222DD" w14:textId="77777777" w:rsidR="009C4FCE" w:rsidRDefault="009C4FCE" w:rsidP="009C4FCE">
      <w:pPr>
        <w:adjustRightInd w:val="0"/>
        <w:snapToGrid w:val="0"/>
        <w:spacing w:after="0" w:line="240" w:lineRule="auto"/>
        <w:contextualSpacing/>
        <w:rPr>
          <w:rFonts w:hint="eastAsia"/>
        </w:rPr>
      </w:pPr>
    </w:p>
    <w:p w14:paraId="1BE047C9" w14:textId="77777777" w:rsidR="009C4FCE" w:rsidRDefault="009C4FCE" w:rsidP="009C4FCE">
      <w:pPr>
        <w:adjustRightInd w:val="0"/>
        <w:snapToGrid w:val="0"/>
        <w:spacing w:after="0" w:line="240" w:lineRule="auto"/>
        <w:contextualSpacing/>
        <w:rPr>
          <w:rFonts w:hint="eastAsia"/>
        </w:rPr>
      </w:pPr>
      <w:r>
        <w:rPr>
          <w:rFonts w:hint="eastAsia"/>
        </w:rPr>
        <w:t>•</w:t>
      </w:r>
      <w:r>
        <w:rPr>
          <w:rFonts w:hint="eastAsia"/>
        </w:rPr>
        <w:tab/>
        <w:t xml:space="preserve">What is judicial review / constitutional context </w:t>
      </w:r>
    </w:p>
    <w:p w14:paraId="062EB926" w14:textId="77777777" w:rsidR="009C4FCE" w:rsidRDefault="009C4FCE" w:rsidP="009C4FCE">
      <w:pPr>
        <w:adjustRightInd w:val="0"/>
        <w:snapToGrid w:val="0"/>
        <w:spacing w:after="0" w:line="240" w:lineRule="auto"/>
        <w:contextualSpacing/>
        <w:rPr>
          <w:rFonts w:hint="eastAsia"/>
        </w:rPr>
      </w:pPr>
      <w:r>
        <w:rPr>
          <w:rFonts w:hint="eastAsia"/>
        </w:rPr>
        <w:t>*De Smith</w:t>
      </w:r>
      <w:proofErr w:type="gramStart"/>
      <w:r>
        <w:rPr>
          <w:rFonts w:hint="eastAsia"/>
        </w:rPr>
        <w:t>’</w:t>
      </w:r>
      <w:proofErr w:type="gramEnd"/>
      <w:r>
        <w:rPr>
          <w:rFonts w:hint="eastAsia"/>
        </w:rPr>
        <w:t>s Judicial Review, 8th ed., §1-001, §1-014</w:t>
      </w:r>
    </w:p>
    <w:p w14:paraId="163B92A5" w14:textId="62739685" w:rsidR="009C4FCE" w:rsidRDefault="009C4FCE" w:rsidP="009C4FCE">
      <w:pPr>
        <w:adjustRightInd w:val="0"/>
        <w:snapToGrid w:val="0"/>
        <w:spacing w:after="0" w:line="240" w:lineRule="auto"/>
        <w:contextualSpacing/>
      </w:pPr>
      <w:r>
        <w:rPr>
          <w:rFonts w:hint="eastAsia"/>
        </w:rPr>
        <w:t>* Hong Kong Basic Law, Article 80</w:t>
      </w:r>
    </w:p>
    <w:p w14:paraId="603B7D6D" w14:textId="77777777" w:rsidR="009C4FCE" w:rsidRDefault="009C4FCE" w:rsidP="009C4FCE">
      <w:pPr>
        <w:adjustRightInd w:val="0"/>
        <w:snapToGrid w:val="0"/>
        <w:spacing w:after="0" w:line="240" w:lineRule="auto"/>
        <w:contextualSpacing/>
        <w:rPr>
          <w:rFonts w:hint="eastAsia"/>
        </w:rPr>
      </w:pPr>
    </w:p>
    <w:p w14:paraId="06758A9A" w14:textId="6547A59F" w:rsidR="009C4FCE" w:rsidRPr="009C4FCE" w:rsidRDefault="009C4FCE" w:rsidP="009C4FCE">
      <w:pPr>
        <w:adjustRightInd w:val="0"/>
        <w:snapToGrid w:val="0"/>
        <w:spacing w:after="0" w:line="240" w:lineRule="auto"/>
        <w:contextualSpacing/>
        <w:rPr>
          <w:rFonts w:hint="eastAsia"/>
          <w:b/>
          <w:bCs/>
        </w:rPr>
      </w:pPr>
      <w:r w:rsidRPr="009C4FCE">
        <w:rPr>
          <w:rFonts w:hint="eastAsia"/>
          <w:b/>
          <w:bCs/>
        </w:rPr>
        <w:t xml:space="preserve">Judicial review – empowering and key provisions </w:t>
      </w:r>
    </w:p>
    <w:p w14:paraId="6652F46F" w14:textId="77777777" w:rsidR="009C4FCE" w:rsidRDefault="009C4FCE" w:rsidP="009C4FCE">
      <w:pPr>
        <w:adjustRightInd w:val="0"/>
        <w:snapToGrid w:val="0"/>
        <w:spacing w:after="0" w:line="240" w:lineRule="auto"/>
        <w:contextualSpacing/>
        <w:rPr>
          <w:rFonts w:hint="eastAsia"/>
        </w:rPr>
      </w:pPr>
      <w:r>
        <w:rPr>
          <w:rFonts w:hint="eastAsia"/>
        </w:rPr>
        <w:t>*s.21K of High Court Ordinance (Cap.4)</w:t>
      </w:r>
    </w:p>
    <w:p w14:paraId="177832E6" w14:textId="77777777" w:rsidR="009C4FCE" w:rsidRDefault="009C4FCE" w:rsidP="009C4FCE">
      <w:pPr>
        <w:adjustRightInd w:val="0"/>
        <w:snapToGrid w:val="0"/>
        <w:spacing w:after="0" w:line="240" w:lineRule="auto"/>
        <w:contextualSpacing/>
        <w:rPr>
          <w:rFonts w:hint="eastAsia"/>
        </w:rPr>
      </w:pPr>
      <w:r>
        <w:rPr>
          <w:rFonts w:hint="eastAsia"/>
        </w:rPr>
        <w:t>*O.53 of Rules of the High Court</w:t>
      </w:r>
    </w:p>
    <w:p w14:paraId="79455C98" w14:textId="77777777" w:rsidR="009C4FCE" w:rsidRDefault="009C4FCE" w:rsidP="009C4FCE">
      <w:pPr>
        <w:adjustRightInd w:val="0"/>
        <w:snapToGrid w:val="0"/>
        <w:spacing w:after="0" w:line="240" w:lineRule="auto"/>
        <w:contextualSpacing/>
        <w:rPr>
          <w:rFonts w:hint="eastAsia"/>
        </w:rPr>
      </w:pPr>
    </w:p>
    <w:p w14:paraId="0704543B" w14:textId="77777777" w:rsidR="009C4FCE" w:rsidRDefault="009C4FCE" w:rsidP="009C4FCE">
      <w:pPr>
        <w:adjustRightInd w:val="0"/>
        <w:snapToGrid w:val="0"/>
        <w:spacing w:after="0" w:line="240" w:lineRule="auto"/>
        <w:ind w:firstLine="420"/>
        <w:contextualSpacing/>
      </w:pPr>
      <w:r>
        <w:rPr>
          <w:rFonts w:hint="eastAsia"/>
        </w:rPr>
        <w:t xml:space="preserve">Not only decisions but statutory provisions amenable to challenge </w:t>
      </w:r>
    </w:p>
    <w:p w14:paraId="74FE3883" w14:textId="72B0E313" w:rsidR="009C4FCE" w:rsidRDefault="009C4FCE" w:rsidP="009C4FCE">
      <w:pPr>
        <w:adjustRightInd w:val="0"/>
        <w:snapToGrid w:val="0"/>
        <w:spacing w:after="0" w:line="240" w:lineRule="auto"/>
        <w:ind w:firstLine="420"/>
        <w:contextualSpacing/>
        <w:rPr>
          <w:rFonts w:hint="eastAsia"/>
        </w:rPr>
      </w:pPr>
      <w:r>
        <w:rPr>
          <w:rFonts w:hint="eastAsia"/>
        </w:rPr>
        <w:t>Leung v SJ [2006] 4 HKLRD 211, §27</w:t>
      </w:r>
    </w:p>
    <w:p w14:paraId="57CAFF30" w14:textId="77777777" w:rsidR="009C4FCE" w:rsidRPr="009C4FCE" w:rsidRDefault="009C4FCE" w:rsidP="009C4FCE">
      <w:pPr>
        <w:adjustRightInd w:val="0"/>
        <w:snapToGrid w:val="0"/>
        <w:spacing w:after="0" w:line="240" w:lineRule="auto"/>
        <w:contextualSpacing/>
        <w:rPr>
          <w:rFonts w:hint="eastAsia"/>
          <w:b/>
          <w:bCs/>
        </w:rPr>
      </w:pPr>
    </w:p>
    <w:p w14:paraId="21ACA92F" w14:textId="59544B0E" w:rsidR="009C4FCE" w:rsidRPr="009C4FCE" w:rsidRDefault="009C4FCE" w:rsidP="009C4FCE">
      <w:pPr>
        <w:adjustRightInd w:val="0"/>
        <w:snapToGrid w:val="0"/>
        <w:spacing w:after="0" w:line="240" w:lineRule="auto"/>
        <w:contextualSpacing/>
        <w:rPr>
          <w:rFonts w:hint="eastAsia"/>
          <w:b/>
          <w:bCs/>
        </w:rPr>
      </w:pPr>
      <w:r w:rsidRPr="009C4FCE">
        <w:rPr>
          <w:rFonts w:hint="eastAsia"/>
          <w:b/>
          <w:bCs/>
        </w:rPr>
        <w:t>Procedural exclusivity</w:t>
      </w:r>
    </w:p>
    <w:p w14:paraId="77E33442" w14:textId="77777777" w:rsidR="009C4FCE" w:rsidRDefault="009C4FCE" w:rsidP="009C4FCE">
      <w:pPr>
        <w:adjustRightInd w:val="0"/>
        <w:snapToGrid w:val="0"/>
        <w:spacing w:after="0" w:line="240" w:lineRule="auto"/>
        <w:contextualSpacing/>
        <w:rPr>
          <w:rFonts w:hint="eastAsia"/>
        </w:rPr>
      </w:pPr>
      <w:r>
        <w:rPr>
          <w:rFonts w:hint="eastAsia"/>
        </w:rPr>
        <w:t>*Stephen Thomson, Administrative Law in Hong Kong, pp.64-75</w:t>
      </w:r>
    </w:p>
    <w:p w14:paraId="6258AD0E" w14:textId="77777777" w:rsidR="009C4FCE" w:rsidRDefault="009C4FCE" w:rsidP="009C4FCE">
      <w:pPr>
        <w:adjustRightInd w:val="0"/>
        <w:snapToGrid w:val="0"/>
        <w:spacing w:after="0" w:line="240" w:lineRule="auto"/>
        <w:contextualSpacing/>
        <w:rPr>
          <w:rFonts w:hint="eastAsia"/>
        </w:rPr>
      </w:pPr>
      <w:r>
        <w:rPr>
          <w:rFonts w:hint="eastAsia"/>
        </w:rPr>
        <w:t>Jhaveri, Ramsden &amp; Scully-Hill pp87-109</w:t>
      </w:r>
    </w:p>
    <w:p w14:paraId="7EF3CD45" w14:textId="77777777" w:rsidR="009C4FCE" w:rsidRDefault="009C4FCE" w:rsidP="009C4FCE">
      <w:pPr>
        <w:adjustRightInd w:val="0"/>
        <w:snapToGrid w:val="0"/>
        <w:spacing w:after="0" w:line="240" w:lineRule="auto"/>
        <w:contextualSpacing/>
      </w:pPr>
      <w:r>
        <w:rPr>
          <w:rFonts w:hint="eastAsia"/>
        </w:rPr>
        <w:t>*O</w:t>
      </w:r>
      <w:proofErr w:type="gramStart"/>
      <w:r>
        <w:rPr>
          <w:rFonts w:hint="eastAsia"/>
        </w:rPr>
        <w:t>’</w:t>
      </w:r>
      <w:proofErr w:type="gramEnd"/>
      <w:r>
        <w:rPr>
          <w:rFonts w:hint="eastAsia"/>
        </w:rPr>
        <w:t xml:space="preserve">Reilly v Mackman [1983] 2 AC 237 </w:t>
      </w:r>
    </w:p>
    <w:p w14:paraId="7C403572" w14:textId="5FB84178" w:rsidR="009C4FCE" w:rsidRDefault="009C4FCE" w:rsidP="009C4FCE">
      <w:pPr>
        <w:adjustRightInd w:val="0"/>
        <w:snapToGrid w:val="0"/>
        <w:spacing w:after="0" w:line="240" w:lineRule="auto"/>
        <w:contextualSpacing/>
      </w:pPr>
      <w:r>
        <w:tab/>
      </w:r>
      <w:r w:rsidR="00532A91" w:rsidRPr="00532A91">
        <w:rPr>
          <w:rFonts w:hint="eastAsia"/>
        </w:rPr>
        <w:t xml:space="preserve">Exclusivity </w:t>
      </w:r>
      <w:proofErr w:type="gramStart"/>
      <w:r w:rsidR="00532A91" w:rsidRPr="00532A91">
        <w:rPr>
          <w:rFonts w:hint="eastAsia"/>
        </w:rPr>
        <w:t>Principle</w:t>
      </w:r>
      <w:r w:rsidR="00532A91">
        <w:t>(</w:t>
      </w:r>
      <w:proofErr w:type="gramEnd"/>
      <w:r w:rsidR="00532A91" w:rsidRPr="00532A91">
        <w:rPr>
          <w:b/>
          <w:bCs/>
        </w:rPr>
        <w:t>general rule</w:t>
      </w:r>
      <w:r w:rsidR="00532A91">
        <w:t xml:space="preserve">): </w:t>
      </w:r>
      <w:r w:rsidR="00532A91" w:rsidRPr="00532A91">
        <w:rPr>
          <w:rFonts w:hint="eastAsia"/>
        </w:rPr>
        <w:t>challenges to public law matters should generally be brought by way of an application for judicial review (Order 53 in the UK) and not through ordinary actions (by writ or originating summons</w:t>
      </w:r>
      <w:r w:rsidR="00532A91">
        <w:t>.</w:t>
      </w:r>
    </w:p>
    <w:p w14:paraId="3C835540" w14:textId="3FF06642" w:rsidR="00532A91" w:rsidRDefault="00532A91" w:rsidP="009C4FCE">
      <w:pPr>
        <w:adjustRightInd w:val="0"/>
        <w:snapToGrid w:val="0"/>
        <w:spacing w:after="0" w:line="240" w:lineRule="auto"/>
        <w:contextualSpacing/>
      </w:pPr>
      <w:r>
        <w:tab/>
        <w:t xml:space="preserve">Reasoning: </w:t>
      </w:r>
      <w:r w:rsidRPr="00532A91">
        <w:rPr>
          <w:rFonts w:hint="eastAsia"/>
          <w:u w:val="single"/>
        </w:rPr>
        <w:t>abuse of process</w:t>
      </w:r>
      <w:r w:rsidRPr="00532A91">
        <w:rPr>
          <w:rFonts w:hint="eastAsia"/>
        </w:rPr>
        <w:t xml:space="preserve"> if the wrong procedure is used, and the </w:t>
      </w:r>
      <w:r w:rsidRPr="00532A91">
        <w:rPr>
          <w:rFonts w:hint="eastAsia"/>
          <w:u w:val="single"/>
        </w:rPr>
        <w:t>interpretation of relevant statutory provisions on remedies</w:t>
      </w:r>
      <w:r w:rsidRPr="00532A91">
        <w:rPr>
          <w:rFonts w:hint="eastAsia"/>
        </w:rPr>
        <w:t>. Lord Diplock stated that Order 53 provides a procedure to obtain every type of remedy for infringement of rights entitled to protection in public law in one proceeding, and to use ordinary action to evade this would be an abuse</w:t>
      </w:r>
    </w:p>
    <w:p w14:paraId="4193CEC0" w14:textId="77777777" w:rsidR="000E2EA7" w:rsidRPr="000E2EA7" w:rsidRDefault="00532A91" w:rsidP="009C4FCE">
      <w:pPr>
        <w:adjustRightInd w:val="0"/>
        <w:snapToGrid w:val="0"/>
        <w:spacing w:after="0" w:line="240" w:lineRule="auto"/>
        <w:contextualSpacing/>
      </w:pPr>
      <w:r w:rsidRPr="000E2EA7">
        <w:tab/>
      </w:r>
      <w:r w:rsidRPr="000E2EA7">
        <w:rPr>
          <w:rFonts w:hint="eastAsia"/>
          <w:b/>
          <w:bCs/>
        </w:rPr>
        <w:t>E</w:t>
      </w:r>
      <w:r w:rsidRPr="000E2EA7">
        <w:rPr>
          <w:b/>
          <w:bCs/>
        </w:rPr>
        <w:t>xceptions</w:t>
      </w:r>
      <w:r w:rsidRPr="000E2EA7">
        <w:t xml:space="preserve">: </w:t>
      </w:r>
    </w:p>
    <w:p w14:paraId="21709ADF" w14:textId="13385E83" w:rsidR="00532A91" w:rsidRPr="000E2EA7" w:rsidRDefault="00532A91" w:rsidP="000E2EA7">
      <w:pPr>
        <w:pStyle w:val="a9"/>
        <w:numPr>
          <w:ilvl w:val="0"/>
          <w:numId w:val="1"/>
        </w:numPr>
        <w:adjustRightInd w:val="0"/>
        <w:snapToGrid w:val="0"/>
        <w:spacing w:after="0" w:line="240" w:lineRule="auto"/>
      </w:pPr>
      <w:r w:rsidRPr="000E2EA7">
        <w:t>Collateral Challenge</w:t>
      </w:r>
      <w:r w:rsidR="000E2EA7" w:rsidRPr="000E2EA7">
        <w:t>:</w:t>
      </w:r>
      <w:r w:rsidR="000E2EA7" w:rsidRPr="000E2EA7">
        <w:rPr>
          <w:rFonts w:hint="eastAsia"/>
        </w:rPr>
        <w:t xml:space="preserve"> a claim for infringement of </w:t>
      </w:r>
      <w:proofErr w:type="gramStart"/>
      <w:r w:rsidR="000E2EA7" w:rsidRPr="000E2EA7">
        <w:rPr>
          <w:rFonts w:hint="eastAsia"/>
        </w:rPr>
        <w:t>a right</w:t>
      </w:r>
      <w:proofErr w:type="gramEnd"/>
      <w:r w:rsidR="000E2EA7" w:rsidRPr="000E2EA7">
        <w:rPr>
          <w:rFonts w:hint="eastAsia"/>
        </w:rPr>
        <w:t xml:space="preserve"> of the plaintiff arising under private law</w:t>
      </w:r>
    </w:p>
    <w:p w14:paraId="55575A84" w14:textId="6329C5E9" w:rsidR="000E2EA7" w:rsidRPr="000E2EA7" w:rsidRDefault="000E2EA7" w:rsidP="000E2EA7">
      <w:pPr>
        <w:pStyle w:val="a9"/>
        <w:numPr>
          <w:ilvl w:val="0"/>
          <w:numId w:val="1"/>
        </w:numPr>
        <w:adjustRightInd w:val="0"/>
        <w:snapToGrid w:val="0"/>
        <w:spacing w:after="0" w:line="240" w:lineRule="auto"/>
      </w:pPr>
      <w:r w:rsidRPr="000E2EA7">
        <w:t>Mutual Consent</w:t>
      </w:r>
      <w:r w:rsidRPr="000E2EA7">
        <w:t xml:space="preserve">: </w:t>
      </w:r>
      <w:r w:rsidRPr="000E2EA7">
        <w:rPr>
          <w:rFonts w:hint="eastAsia"/>
        </w:rPr>
        <w:t xml:space="preserve">none of the </w:t>
      </w:r>
      <w:proofErr w:type="gramStart"/>
      <w:r w:rsidRPr="000E2EA7">
        <w:rPr>
          <w:rFonts w:hint="eastAsia"/>
        </w:rPr>
        <w:t>parties</w:t>
      </w:r>
      <w:proofErr w:type="gramEnd"/>
      <w:r w:rsidRPr="000E2EA7">
        <w:rPr>
          <w:rFonts w:hint="eastAsia"/>
        </w:rPr>
        <w:t xml:space="preserve"> objects to the adoption of the procedure by writ or originating summons</w:t>
      </w:r>
    </w:p>
    <w:p w14:paraId="6A16D270" w14:textId="77777777" w:rsidR="009C4FCE" w:rsidRDefault="009C4FCE" w:rsidP="009C4FCE">
      <w:pPr>
        <w:adjustRightInd w:val="0"/>
        <w:snapToGrid w:val="0"/>
        <w:spacing w:after="0" w:line="240" w:lineRule="auto"/>
        <w:contextualSpacing/>
        <w:rPr>
          <w:rFonts w:hint="eastAsia"/>
        </w:rPr>
      </w:pPr>
      <w:r>
        <w:rPr>
          <w:rFonts w:hint="eastAsia"/>
        </w:rPr>
        <w:t>*Cocks v Thanet District Council [1983] 2 AC 286</w:t>
      </w:r>
    </w:p>
    <w:p w14:paraId="089414FE" w14:textId="77777777" w:rsidR="009C4FCE" w:rsidRDefault="009C4FCE" w:rsidP="009C4FCE">
      <w:pPr>
        <w:adjustRightInd w:val="0"/>
        <w:snapToGrid w:val="0"/>
        <w:spacing w:after="0" w:line="240" w:lineRule="auto"/>
        <w:contextualSpacing/>
        <w:rPr>
          <w:rFonts w:hint="eastAsia"/>
        </w:rPr>
      </w:pPr>
      <w:r>
        <w:rPr>
          <w:rFonts w:hint="eastAsia"/>
        </w:rPr>
        <w:t>Wandsworth LBC v. Winder [1985] AC 461</w:t>
      </w:r>
    </w:p>
    <w:p w14:paraId="33F602E1" w14:textId="77777777" w:rsidR="009C4FCE" w:rsidRDefault="009C4FCE" w:rsidP="009C4FCE">
      <w:pPr>
        <w:adjustRightInd w:val="0"/>
        <w:snapToGrid w:val="0"/>
        <w:spacing w:after="0" w:line="240" w:lineRule="auto"/>
        <w:contextualSpacing/>
        <w:rPr>
          <w:rFonts w:hint="eastAsia"/>
        </w:rPr>
      </w:pPr>
      <w:r>
        <w:rPr>
          <w:rFonts w:hint="eastAsia"/>
        </w:rPr>
        <w:t>*Roy v Kensington &amp; Chelsea Family Practitioners Committee [1992] 1 AC 624</w:t>
      </w:r>
    </w:p>
    <w:p w14:paraId="7FD94AD3" w14:textId="77777777" w:rsidR="009C4FCE" w:rsidRDefault="009C4FCE" w:rsidP="009C4FCE">
      <w:pPr>
        <w:adjustRightInd w:val="0"/>
        <w:snapToGrid w:val="0"/>
        <w:spacing w:after="0" w:line="240" w:lineRule="auto"/>
        <w:contextualSpacing/>
        <w:rPr>
          <w:rFonts w:hint="eastAsia"/>
        </w:rPr>
      </w:pPr>
      <w:r>
        <w:rPr>
          <w:rFonts w:hint="eastAsia"/>
        </w:rPr>
        <w:t>* Next Digital Limited v Commissioner of Police [2021] HKCFI 1677</w:t>
      </w:r>
    </w:p>
    <w:p w14:paraId="4E187FBB" w14:textId="77777777" w:rsidR="009C4FCE" w:rsidRDefault="009C4FCE" w:rsidP="009C4FCE">
      <w:pPr>
        <w:adjustRightInd w:val="0"/>
        <w:snapToGrid w:val="0"/>
        <w:spacing w:after="0" w:line="240" w:lineRule="auto"/>
        <w:contextualSpacing/>
        <w:rPr>
          <w:rFonts w:hint="eastAsia"/>
        </w:rPr>
      </w:pPr>
      <w:r>
        <w:rPr>
          <w:rFonts w:hint="eastAsia"/>
        </w:rPr>
        <w:t>Mercury Communications Ltd v Director General of Telecommunications [1996] 1 WLR 48</w:t>
      </w:r>
    </w:p>
    <w:p w14:paraId="1CE9052C" w14:textId="77777777" w:rsidR="009C4FCE" w:rsidRDefault="009C4FCE" w:rsidP="009C4FCE">
      <w:pPr>
        <w:adjustRightInd w:val="0"/>
        <w:snapToGrid w:val="0"/>
        <w:spacing w:after="0" w:line="240" w:lineRule="auto"/>
        <w:contextualSpacing/>
        <w:rPr>
          <w:rFonts w:hint="eastAsia"/>
        </w:rPr>
      </w:pPr>
      <w:r>
        <w:rPr>
          <w:rFonts w:hint="eastAsia"/>
        </w:rPr>
        <w:t>Wong Fuk Tim v HKSAR, HCAL 1008/2011 (</w:t>
      </w:r>
      <w:proofErr w:type="spellStart"/>
      <w:r>
        <w:rPr>
          <w:rFonts w:hint="eastAsia"/>
        </w:rPr>
        <w:t>unrep</w:t>
      </w:r>
      <w:proofErr w:type="spellEnd"/>
      <w:r>
        <w:rPr>
          <w:rFonts w:hint="eastAsia"/>
        </w:rPr>
        <w:t>., 12 October 2011)</w:t>
      </w:r>
    </w:p>
    <w:p w14:paraId="32783377" w14:textId="77777777" w:rsidR="009C4FCE" w:rsidRDefault="009C4FCE" w:rsidP="009C4FCE">
      <w:pPr>
        <w:adjustRightInd w:val="0"/>
        <w:snapToGrid w:val="0"/>
        <w:spacing w:after="0" w:line="240" w:lineRule="auto"/>
        <w:contextualSpacing/>
        <w:rPr>
          <w:rFonts w:hint="eastAsia"/>
        </w:rPr>
      </w:pPr>
    </w:p>
    <w:p w14:paraId="485B24D6" w14:textId="77777777" w:rsidR="009C4FCE" w:rsidRDefault="009C4FCE" w:rsidP="009C4FCE">
      <w:pPr>
        <w:adjustRightInd w:val="0"/>
        <w:snapToGrid w:val="0"/>
        <w:spacing w:after="0" w:line="240" w:lineRule="auto"/>
        <w:contextualSpacing/>
        <w:rPr>
          <w:rFonts w:hint="eastAsia"/>
        </w:rPr>
      </w:pPr>
    </w:p>
    <w:p w14:paraId="6BA0FFF4" w14:textId="77777777" w:rsidR="009C4FCE" w:rsidRDefault="009C4FCE" w:rsidP="009C4FCE">
      <w:pPr>
        <w:adjustRightInd w:val="0"/>
        <w:snapToGrid w:val="0"/>
        <w:spacing w:after="0" w:line="240" w:lineRule="auto"/>
        <w:contextualSpacing/>
        <w:rPr>
          <w:rFonts w:hint="eastAsia"/>
        </w:rPr>
      </w:pPr>
    </w:p>
    <w:p w14:paraId="1A882828" w14:textId="1C62423E" w:rsidR="009C4FCE" w:rsidRPr="000E2EA7" w:rsidRDefault="000E2EA7" w:rsidP="009C4FCE">
      <w:pPr>
        <w:adjustRightInd w:val="0"/>
        <w:snapToGrid w:val="0"/>
        <w:spacing w:after="0" w:line="240" w:lineRule="auto"/>
        <w:contextualSpacing/>
        <w:rPr>
          <w:rFonts w:hint="eastAsia"/>
          <w:b/>
          <w:bCs/>
        </w:rPr>
      </w:pPr>
      <w:r w:rsidRPr="000E2EA7">
        <w:rPr>
          <w:b/>
          <w:bCs/>
        </w:rPr>
        <w:t>P</w:t>
      </w:r>
      <w:r w:rsidR="009C4FCE" w:rsidRPr="000E2EA7">
        <w:rPr>
          <w:rFonts w:hint="eastAsia"/>
          <w:b/>
          <w:bCs/>
        </w:rPr>
        <w:t xml:space="preserve">ublic/private divide </w:t>
      </w:r>
    </w:p>
    <w:p w14:paraId="74794B63" w14:textId="77777777" w:rsidR="009C4FCE" w:rsidRDefault="009C4FCE" w:rsidP="009C4FCE">
      <w:pPr>
        <w:adjustRightInd w:val="0"/>
        <w:snapToGrid w:val="0"/>
        <w:spacing w:after="0" w:line="240" w:lineRule="auto"/>
        <w:contextualSpacing/>
        <w:rPr>
          <w:rFonts w:hint="eastAsia"/>
        </w:rPr>
      </w:pPr>
      <w:r>
        <w:rPr>
          <w:rFonts w:hint="eastAsia"/>
        </w:rPr>
        <w:t>*Stephen Thomson, Administrative Law in Hong Kong, pp.75-86</w:t>
      </w:r>
    </w:p>
    <w:p w14:paraId="6C4E1264" w14:textId="77777777" w:rsidR="009C4FCE" w:rsidRDefault="009C4FCE" w:rsidP="009C4FCE">
      <w:pPr>
        <w:adjustRightInd w:val="0"/>
        <w:snapToGrid w:val="0"/>
        <w:spacing w:after="0" w:line="240" w:lineRule="auto"/>
        <w:contextualSpacing/>
        <w:rPr>
          <w:rFonts w:hint="eastAsia"/>
        </w:rPr>
      </w:pPr>
      <w:r>
        <w:rPr>
          <w:rFonts w:hint="eastAsia"/>
        </w:rPr>
        <w:t>Jhaveri, Ramsden &amp; Scully-Hill pp109-137</w:t>
      </w:r>
    </w:p>
    <w:p w14:paraId="0A24893B" w14:textId="77777777" w:rsidR="009C4FCE" w:rsidRDefault="009C4FCE" w:rsidP="009C4FCE">
      <w:pPr>
        <w:adjustRightInd w:val="0"/>
        <w:snapToGrid w:val="0"/>
        <w:spacing w:after="0" w:line="240" w:lineRule="auto"/>
        <w:contextualSpacing/>
        <w:rPr>
          <w:rFonts w:hint="eastAsia"/>
        </w:rPr>
      </w:pPr>
      <w:r>
        <w:rPr>
          <w:rFonts w:hint="eastAsia"/>
        </w:rPr>
        <w:t>*Hang Wah Chong Investment Co Ltd v AG [1981] 1 WLR 1141</w:t>
      </w:r>
    </w:p>
    <w:p w14:paraId="36B15C80" w14:textId="77777777" w:rsidR="009C4FCE" w:rsidRDefault="009C4FCE" w:rsidP="009C4FCE">
      <w:pPr>
        <w:adjustRightInd w:val="0"/>
        <w:snapToGrid w:val="0"/>
        <w:spacing w:after="0" w:line="240" w:lineRule="auto"/>
        <w:contextualSpacing/>
        <w:rPr>
          <w:rFonts w:hint="eastAsia"/>
        </w:rPr>
      </w:pPr>
      <w:r>
        <w:rPr>
          <w:rFonts w:hint="eastAsia"/>
        </w:rPr>
        <w:t xml:space="preserve">*R v Panel on Takeovers and Mergers, ex p </w:t>
      </w:r>
      <w:proofErr w:type="spellStart"/>
      <w:r>
        <w:rPr>
          <w:rFonts w:hint="eastAsia"/>
        </w:rPr>
        <w:t>Datafin</w:t>
      </w:r>
      <w:proofErr w:type="spellEnd"/>
      <w:r>
        <w:rPr>
          <w:rFonts w:hint="eastAsia"/>
        </w:rPr>
        <w:t xml:space="preserve"> plc [1987] 1 All ER 564</w:t>
      </w:r>
    </w:p>
    <w:p w14:paraId="4D365997" w14:textId="77777777" w:rsidR="009C4FCE" w:rsidRDefault="009C4FCE" w:rsidP="009C4FCE">
      <w:pPr>
        <w:adjustRightInd w:val="0"/>
        <w:snapToGrid w:val="0"/>
        <w:spacing w:after="0" w:line="240" w:lineRule="auto"/>
        <w:contextualSpacing/>
        <w:rPr>
          <w:rFonts w:hint="eastAsia"/>
        </w:rPr>
      </w:pPr>
      <w:r>
        <w:rPr>
          <w:rFonts w:hint="eastAsia"/>
        </w:rPr>
        <w:t>Hong Kong and China Gas Co Ltd v Director of Lands [1997] 1 HKLRD 1291</w:t>
      </w:r>
    </w:p>
    <w:p w14:paraId="3917CD73" w14:textId="77777777" w:rsidR="009C4FCE" w:rsidRDefault="009C4FCE" w:rsidP="009C4FCE">
      <w:pPr>
        <w:adjustRightInd w:val="0"/>
        <w:snapToGrid w:val="0"/>
        <w:spacing w:after="0" w:line="240" w:lineRule="auto"/>
        <w:contextualSpacing/>
        <w:rPr>
          <w:rFonts w:hint="eastAsia"/>
        </w:rPr>
      </w:pPr>
      <w:r>
        <w:rPr>
          <w:rFonts w:hint="eastAsia"/>
        </w:rPr>
        <w:t>Ngo Kee Construction Co Ltd v Housing Authority [2001] 1 HKC 493</w:t>
      </w:r>
    </w:p>
    <w:p w14:paraId="61317537" w14:textId="77777777" w:rsidR="009C4FCE" w:rsidRDefault="009C4FCE" w:rsidP="009C4FCE">
      <w:pPr>
        <w:adjustRightInd w:val="0"/>
        <w:snapToGrid w:val="0"/>
        <w:spacing w:after="0" w:line="240" w:lineRule="auto"/>
        <w:contextualSpacing/>
        <w:rPr>
          <w:rFonts w:hint="eastAsia"/>
        </w:rPr>
      </w:pPr>
      <w:r>
        <w:rPr>
          <w:rFonts w:hint="eastAsia"/>
        </w:rPr>
        <w:t xml:space="preserve">Director of Lands v Yin </w:t>
      </w:r>
      <w:proofErr w:type="spellStart"/>
      <w:r>
        <w:rPr>
          <w:rFonts w:hint="eastAsia"/>
        </w:rPr>
        <w:t>Shuen</w:t>
      </w:r>
      <w:proofErr w:type="spellEnd"/>
      <w:r>
        <w:rPr>
          <w:rFonts w:hint="eastAsia"/>
        </w:rPr>
        <w:t xml:space="preserve"> Enterprises Ltd (2003) 6 HKCFAR 1  </w:t>
      </w:r>
    </w:p>
    <w:p w14:paraId="416AA0E9" w14:textId="77777777" w:rsidR="009C4FCE" w:rsidRDefault="009C4FCE" w:rsidP="009C4FCE">
      <w:pPr>
        <w:adjustRightInd w:val="0"/>
        <w:snapToGrid w:val="0"/>
        <w:spacing w:after="0" w:line="240" w:lineRule="auto"/>
        <w:contextualSpacing/>
        <w:rPr>
          <w:rFonts w:hint="eastAsia"/>
        </w:rPr>
      </w:pPr>
      <w:r>
        <w:rPr>
          <w:rFonts w:hint="eastAsia"/>
        </w:rPr>
        <w:t>Ying Ho Co Ltd v SJ (2004) 7 HKCFAR 333</w:t>
      </w:r>
    </w:p>
    <w:p w14:paraId="32ABF3FF" w14:textId="77777777" w:rsidR="009C4FCE" w:rsidRDefault="009C4FCE" w:rsidP="009C4FCE">
      <w:pPr>
        <w:adjustRightInd w:val="0"/>
        <w:snapToGrid w:val="0"/>
        <w:spacing w:after="0" w:line="240" w:lineRule="auto"/>
        <w:contextualSpacing/>
        <w:rPr>
          <w:rFonts w:hint="eastAsia"/>
        </w:rPr>
      </w:pPr>
      <w:r>
        <w:rPr>
          <w:rFonts w:hint="eastAsia"/>
        </w:rPr>
        <w:t>R v English Schools Foundation [2004] 3 HKC 343</w:t>
      </w:r>
    </w:p>
    <w:p w14:paraId="09BC3FF4" w14:textId="77777777" w:rsidR="009C4FCE" w:rsidRDefault="009C4FCE" w:rsidP="009C4FCE">
      <w:pPr>
        <w:adjustRightInd w:val="0"/>
        <w:snapToGrid w:val="0"/>
        <w:spacing w:after="0" w:line="240" w:lineRule="auto"/>
        <w:contextualSpacing/>
        <w:rPr>
          <w:rFonts w:hint="eastAsia"/>
        </w:rPr>
      </w:pPr>
      <w:r>
        <w:rPr>
          <w:rFonts w:hint="eastAsia"/>
        </w:rPr>
        <w:t>*Rank Profit Industries Ltd v Director of Lands [2009] 1 HKLRD 177</w:t>
      </w:r>
    </w:p>
    <w:p w14:paraId="15EE1D9A" w14:textId="77777777" w:rsidR="009C4FCE" w:rsidRDefault="009C4FCE" w:rsidP="009C4FCE">
      <w:pPr>
        <w:adjustRightInd w:val="0"/>
        <w:snapToGrid w:val="0"/>
        <w:spacing w:after="0" w:line="240" w:lineRule="auto"/>
        <w:contextualSpacing/>
        <w:rPr>
          <w:rFonts w:hint="eastAsia"/>
        </w:rPr>
      </w:pPr>
      <w:r>
        <w:rPr>
          <w:rFonts w:hint="eastAsia"/>
        </w:rPr>
        <w:t xml:space="preserve">*Anderson Asphalt Ltd v SJ [2009] 3 HKLRD 215 </w:t>
      </w:r>
    </w:p>
    <w:p w14:paraId="6AF26BFE" w14:textId="77777777" w:rsidR="009C4FCE" w:rsidRDefault="009C4FCE" w:rsidP="009C4FCE">
      <w:pPr>
        <w:adjustRightInd w:val="0"/>
        <w:snapToGrid w:val="0"/>
        <w:spacing w:after="0" w:line="240" w:lineRule="auto"/>
        <w:contextualSpacing/>
        <w:rPr>
          <w:rFonts w:hint="eastAsia"/>
        </w:rPr>
      </w:pPr>
      <w:r>
        <w:rPr>
          <w:rFonts w:hint="eastAsia"/>
        </w:rPr>
        <w:t>Wan Yung Sang v Housing Authority, HCAL 135/2009 (</w:t>
      </w:r>
      <w:proofErr w:type="spellStart"/>
      <w:r>
        <w:rPr>
          <w:rFonts w:hint="eastAsia"/>
        </w:rPr>
        <w:t>unrep</w:t>
      </w:r>
      <w:proofErr w:type="spellEnd"/>
      <w:r>
        <w:rPr>
          <w:rFonts w:hint="eastAsia"/>
        </w:rPr>
        <w:t>., 6 July 2011)</w:t>
      </w:r>
    </w:p>
    <w:p w14:paraId="7125E150" w14:textId="77777777" w:rsidR="009C4FCE" w:rsidRDefault="009C4FCE" w:rsidP="009C4FCE">
      <w:pPr>
        <w:adjustRightInd w:val="0"/>
        <w:snapToGrid w:val="0"/>
        <w:spacing w:after="0" w:line="240" w:lineRule="auto"/>
        <w:contextualSpacing/>
        <w:rPr>
          <w:rFonts w:hint="eastAsia"/>
        </w:rPr>
      </w:pPr>
    </w:p>
    <w:p w14:paraId="5541A595" w14:textId="77777777" w:rsidR="009C4FCE" w:rsidRDefault="009C4FCE" w:rsidP="009C4FCE">
      <w:pPr>
        <w:adjustRightInd w:val="0"/>
        <w:snapToGrid w:val="0"/>
        <w:spacing w:after="0" w:line="240" w:lineRule="auto"/>
        <w:contextualSpacing/>
        <w:rPr>
          <w:rFonts w:hint="eastAsia"/>
        </w:rPr>
      </w:pPr>
      <w:r>
        <w:rPr>
          <w:rFonts w:hint="eastAsia"/>
        </w:rPr>
        <w:t>Tan Shih Ying v City University of Hong Kong, HCAL 36/2012 (</w:t>
      </w:r>
      <w:proofErr w:type="spellStart"/>
      <w:r>
        <w:rPr>
          <w:rFonts w:hint="eastAsia"/>
        </w:rPr>
        <w:t>unrep</w:t>
      </w:r>
      <w:proofErr w:type="spellEnd"/>
      <w:r>
        <w:rPr>
          <w:rFonts w:hint="eastAsia"/>
        </w:rPr>
        <w:t>., 7 December 2012)</w:t>
      </w:r>
    </w:p>
    <w:p w14:paraId="527A3825" w14:textId="77777777" w:rsidR="009C4FCE" w:rsidRDefault="009C4FCE" w:rsidP="009C4FCE">
      <w:pPr>
        <w:adjustRightInd w:val="0"/>
        <w:snapToGrid w:val="0"/>
        <w:spacing w:after="0" w:line="240" w:lineRule="auto"/>
        <w:contextualSpacing/>
        <w:rPr>
          <w:rFonts w:hint="eastAsia"/>
        </w:rPr>
      </w:pPr>
      <w:r>
        <w:rPr>
          <w:rFonts w:hint="eastAsia"/>
        </w:rPr>
        <w:t>*Leung Sze Ho Albert v Bar Council of the Hong Kong Bar Association [2015] 5 HKLRD 791</w:t>
      </w:r>
    </w:p>
    <w:p w14:paraId="35C8B650" w14:textId="77777777" w:rsidR="009C4FCE" w:rsidRDefault="009C4FCE" w:rsidP="009C4FCE">
      <w:pPr>
        <w:adjustRightInd w:val="0"/>
        <w:snapToGrid w:val="0"/>
        <w:spacing w:after="0" w:line="240" w:lineRule="auto"/>
        <w:contextualSpacing/>
        <w:rPr>
          <w:rFonts w:hint="eastAsia"/>
        </w:rPr>
      </w:pPr>
      <w:r>
        <w:rPr>
          <w:rFonts w:hint="eastAsia"/>
        </w:rPr>
        <w:t>*Li Fung Kei v Council of the University of Hong Kong [2018] 4 HKC 231</w:t>
      </w:r>
    </w:p>
    <w:p w14:paraId="7006F0DA" w14:textId="77777777" w:rsidR="009C4FCE" w:rsidRDefault="009C4FCE" w:rsidP="009C4FCE">
      <w:pPr>
        <w:adjustRightInd w:val="0"/>
        <w:snapToGrid w:val="0"/>
        <w:spacing w:after="0" w:line="240" w:lineRule="auto"/>
        <w:contextualSpacing/>
        <w:rPr>
          <w:rFonts w:hint="eastAsia"/>
        </w:rPr>
      </w:pPr>
      <w:r>
        <w:rPr>
          <w:rFonts w:hint="eastAsia"/>
        </w:rPr>
        <w:t>*Sime Darby Motor Services Ltd v. Director of Lands [2022] 4 HKLRD 714; [2024] 2 HKLRD 319; [2024] HKCFA 26</w:t>
      </w:r>
    </w:p>
    <w:p w14:paraId="5552DA93" w14:textId="77777777" w:rsidR="009C4FCE" w:rsidRDefault="009C4FCE" w:rsidP="009C4FCE">
      <w:pPr>
        <w:adjustRightInd w:val="0"/>
        <w:snapToGrid w:val="0"/>
        <w:spacing w:after="0" w:line="240" w:lineRule="auto"/>
        <w:contextualSpacing/>
        <w:rPr>
          <w:rFonts w:hint="eastAsia"/>
        </w:rPr>
      </w:pPr>
    </w:p>
    <w:p w14:paraId="66980B26" w14:textId="77777777" w:rsidR="009C4FCE" w:rsidRDefault="009C4FCE" w:rsidP="009C4FCE">
      <w:pPr>
        <w:adjustRightInd w:val="0"/>
        <w:snapToGrid w:val="0"/>
        <w:spacing w:after="0" w:line="240" w:lineRule="auto"/>
        <w:contextualSpacing/>
        <w:rPr>
          <w:rFonts w:hint="eastAsia"/>
        </w:rPr>
      </w:pPr>
    </w:p>
    <w:p w14:paraId="71F09129" w14:textId="77777777" w:rsidR="009C4FCE" w:rsidRDefault="009C4FCE" w:rsidP="009C4FCE">
      <w:pPr>
        <w:adjustRightInd w:val="0"/>
        <w:snapToGrid w:val="0"/>
        <w:spacing w:after="0" w:line="240" w:lineRule="auto"/>
        <w:contextualSpacing/>
        <w:rPr>
          <w:rFonts w:hint="eastAsia"/>
        </w:rPr>
      </w:pPr>
    </w:p>
    <w:p w14:paraId="34FDC25D" w14:textId="77777777" w:rsidR="009C4FCE" w:rsidRDefault="009C4FCE" w:rsidP="009C4FCE">
      <w:pPr>
        <w:adjustRightInd w:val="0"/>
        <w:snapToGrid w:val="0"/>
        <w:spacing w:after="0" w:line="240" w:lineRule="auto"/>
        <w:contextualSpacing/>
        <w:rPr>
          <w:rFonts w:hint="eastAsia"/>
        </w:rPr>
      </w:pPr>
      <w:r>
        <w:rPr>
          <w:rFonts w:hint="eastAsia"/>
        </w:rPr>
        <w:t xml:space="preserve">  </w:t>
      </w:r>
    </w:p>
    <w:p w14:paraId="061635FE" w14:textId="77777777" w:rsidR="009C4FCE" w:rsidRDefault="009C4FCE" w:rsidP="009C4FCE">
      <w:pPr>
        <w:adjustRightInd w:val="0"/>
        <w:snapToGrid w:val="0"/>
        <w:spacing w:after="0" w:line="240" w:lineRule="auto"/>
        <w:contextualSpacing/>
        <w:rPr>
          <w:rFonts w:hint="eastAsia"/>
        </w:rPr>
      </w:pPr>
    </w:p>
    <w:p w14:paraId="4834DEA0" w14:textId="589E18CD" w:rsidR="0050531B" w:rsidRPr="009C4FCE" w:rsidRDefault="0050531B" w:rsidP="009C4FCE">
      <w:pPr>
        <w:adjustRightInd w:val="0"/>
        <w:snapToGrid w:val="0"/>
        <w:spacing w:after="0" w:line="240" w:lineRule="auto"/>
        <w:contextualSpacing/>
      </w:pPr>
    </w:p>
    <w:sectPr w:rsidR="0050531B" w:rsidRPr="009C4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D17B5"/>
    <w:multiLevelType w:val="hybridMultilevel"/>
    <w:tmpl w:val="5E3EF2FA"/>
    <w:lvl w:ilvl="0" w:tplc="4B56BB4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8202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03"/>
    <w:rsid w:val="000E2EA7"/>
    <w:rsid w:val="001E12DB"/>
    <w:rsid w:val="004B4FDE"/>
    <w:rsid w:val="004D4D03"/>
    <w:rsid w:val="0050531B"/>
    <w:rsid w:val="00532A91"/>
    <w:rsid w:val="00891DB0"/>
    <w:rsid w:val="008D02B2"/>
    <w:rsid w:val="009C4FCE"/>
    <w:rsid w:val="00F8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2FEA"/>
  <w15:chartTrackingRefBased/>
  <w15:docId w15:val="{2FD97E43-F004-430D-BA4D-B8870F7C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D4D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4D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4D0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4D0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4D0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D4D0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4D0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4D0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D4D0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4D0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4D0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4D0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4D03"/>
    <w:rPr>
      <w:rFonts w:cstheme="majorBidi"/>
      <w:color w:val="0F4761" w:themeColor="accent1" w:themeShade="BF"/>
      <w:sz w:val="28"/>
      <w:szCs w:val="28"/>
    </w:rPr>
  </w:style>
  <w:style w:type="character" w:customStyle="1" w:styleId="50">
    <w:name w:val="标题 5 字符"/>
    <w:basedOn w:val="a0"/>
    <w:link w:val="5"/>
    <w:uiPriority w:val="9"/>
    <w:semiHidden/>
    <w:rsid w:val="004D4D03"/>
    <w:rPr>
      <w:rFonts w:cstheme="majorBidi"/>
      <w:color w:val="0F4761" w:themeColor="accent1" w:themeShade="BF"/>
      <w:sz w:val="24"/>
    </w:rPr>
  </w:style>
  <w:style w:type="character" w:customStyle="1" w:styleId="60">
    <w:name w:val="标题 6 字符"/>
    <w:basedOn w:val="a0"/>
    <w:link w:val="6"/>
    <w:uiPriority w:val="9"/>
    <w:semiHidden/>
    <w:rsid w:val="004D4D03"/>
    <w:rPr>
      <w:rFonts w:cstheme="majorBidi"/>
      <w:b/>
      <w:bCs/>
      <w:color w:val="0F4761" w:themeColor="accent1" w:themeShade="BF"/>
    </w:rPr>
  </w:style>
  <w:style w:type="character" w:customStyle="1" w:styleId="70">
    <w:name w:val="标题 7 字符"/>
    <w:basedOn w:val="a0"/>
    <w:link w:val="7"/>
    <w:uiPriority w:val="9"/>
    <w:semiHidden/>
    <w:rsid w:val="004D4D03"/>
    <w:rPr>
      <w:rFonts w:cstheme="majorBidi"/>
      <w:b/>
      <w:bCs/>
      <w:color w:val="595959" w:themeColor="text1" w:themeTint="A6"/>
    </w:rPr>
  </w:style>
  <w:style w:type="character" w:customStyle="1" w:styleId="80">
    <w:name w:val="标题 8 字符"/>
    <w:basedOn w:val="a0"/>
    <w:link w:val="8"/>
    <w:uiPriority w:val="9"/>
    <w:semiHidden/>
    <w:rsid w:val="004D4D03"/>
    <w:rPr>
      <w:rFonts w:cstheme="majorBidi"/>
      <w:color w:val="595959" w:themeColor="text1" w:themeTint="A6"/>
    </w:rPr>
  </w:style>
  <w:style w:type="character" w:customStyle="1" w:styleId="90">
    <w:name w:val="标题 9 字符"/>
    <w:basedOn w:val="a0"/>
    <w:link w:val="9"/>
    <w:uiPriority w:val="9"/>
    <w:semiHidden/>
    <w:rsid w:val="004D4D03"/>
    <w:rPr>
      <w:rFonts w:eastAsiaTheme="majorEastAsia" w:cstheme="majorBidi"/>
      <w:color w:val="595959" w:themeColor="text1" w:themeTint="A6"/>
    </w:rPr>
  </w:style>
  <w:style w:type="paragraph" w:styleId="a3">
    <w:name w:val="Title"/>
    <w:basedOn w:val="a"/>
    <w:next w:val="a"/>
    <w:link w:val="a4"/>
    <w:uiPriority w:val="10"/>
    <w:qFormat/>
    <w:rsid w:val="004D4D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4D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4D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4D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4D03"/>
    <w:pPr>
      <w:spacing w:before="160"/>
      <w:jc w:val="center"/>
    </w:pPr>
    <w:rPr>
      <w:i/>
      <w:iCs/>
      <w:color w:val="404040" w:themeColor="text1" w:themeTint="BF"/>
    </w:rPr>
  </w:style>
  <w:style w:type="character" w:customStyle="1" w:styleId="a8">
    <w:name w:val="引用 字符"/>
    <w:basedOn w:val="a0"/>
    <w:link w:val="a7"/>
    <w:uiPriority w:val="29"/>
    <w:rsid w:val="004D4D03"/>
    <w:rPr>
      <w:i/>
      <w:iCs/>
      <w:color w:val="404040" w:themeColor="text1" w:themeTint="BF"/>
    </w:rPr>
  </w:style>
  <w:style w:type="paragraph" w:styleId="a9">
    <w:name w:val="List Paragraph"/>
    <w:basedOn w:val="a"/>
    <w:uiPriority w:val="34"/>
    <w:qFormat/>
    <w:rsid w:val="004D4D03"/>
    <w:pPr>
      <w:ind w:left="720"/>
      <w:contextualSpacing/>
    </w:pPr>
  </w:style>
  <w:style w:type="character" w:styleId="aa">
    <w:name w:val="Intense Emphasis"/>
    <w:basedOn w:val="a0"/>
    <w:uiPriority w:val="21"/>
    <w:qFormat/>
    <w:rsid w:val="004D4D03"/>
    <w:rPr>
      <w:i/>
      <w:iCs/>
      <w:color w:val="0F4761" w:themeColor="accent1" w:themeShade="BF"/>
    </w:rPr>
  </w:style>
  <w:style w:type="paragraph" w:styleId="ab">
    <w:name w:val="Intense Quote"/>
    <w:basedOn w:val="a"/>
    <w:next w:val="a"/>
    <w:link w:val="ac"/>
    <w:uiPriority w:val="30"/>
    <w:qFormat/>
    <w:rsid w:val="004D4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4D03"/>
    <w:rPr>
      <w:i/>
      <w:iCs/>
      <w:color w:val="0F4761" w:themeColor="accent1" w:themeShade="BF"/>
    </w:rPr>
  </w:style>
  <w:style w:type="character" w:styleId="ad">
    <w:name w:val="Intense Reference"/>
    <w:basedOn w:val="a0"/>
    <w:uiPriority w:val="32"/>
    <w:qFormat/>
    <w:rsid w:val="004D4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3</cp:revision>
  <dcterms:created xsi:type="dcterms:W3CDTF">2025-04-08T09:12:00Z</dcterms:created>
  <dcterms:modified xsi:type="dcterms:W3CDTF">2025-04-08T15:21:00Z</dcterms:modified>
</cp:coreProperties>
</file>