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9500" w14:textId="36D56468" w:rsidR="00EC1263" w:rsidRDefault="00295160">
      <w:r>
        <w:rPr>
          <w:rFonts w:hint="eastAsia"/>
        </w:rPr>
        <w:t>LEC4:</w:t>
      </w:r>
    </w:p>
    <w:p w14:paraId="5EDCF8C1" w14:textId="767B5DB1" w:rsidR="00295160" w:rsidRDefault="00295160">
      <w:pPr>
        <w:rPr>
          <w:lang w:val="en-US"/>
        </w:rPr>
      </w:pPr>
      <w:r w:rsidRPr="00295160">
        <w:rPr>
          <w:lang w:val="en-US"/>
        </w:rPr>
        <w:t>GNANGO (2012) UKSC</w:t>
      </w:r>
    </w:p>
    <w:p w14:paraId="399DDB4E" w14:textId="7BAD9496" w:rsidR="00295160" w:rsidRDefault="00295160">
      <w:pPr>
        <w:rPr>
          <w:lang w:val="en-US"/>
        </w:rPr>
      </w:pPr>
      <w:r>
        <w:rPr>
          <w:rFonts w:hint="eastAsia"/>
          <w:lang w:val="en-US"/>
        </w:rPr>
        <w:t xml:space="preserve">Before Jogee and reform in UK. Extended form of JCE. </w:t>
      </w:r>
      <w:r w:rsidRPr="00295160">
        <w:rPr>
          <w:lang w:val="en-US"/>
        </w:rPr>
        <w:t>GNANGO</w:t>
      </w:r>
      <w:r>
        <w:rPr>
          <w:rFonts w:hint="eastAsia"/>
          <w:lang w:val="en-US"/>
        </w:rPr>
        <w:t xml:space="preserve"> drug dealer, owed a lot of money. </w:t>
      </w:r>
      <w:r w:rsidRPr="00295160">
        <w:rPr>
          <w:lang w:val="en-US"/>
        </w:rPr>
        <w:t>bandana</w:t>
      </w:r>
      <w:r w:rsidRPr="00295160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 xml:space="preserve">man and </w:t>
      </w:r>
      <w:r w:rsidRPr="00295160">
        <w:rPr>
          <w:lang w:val="en-US"/>
        </w:rPr>
        <w:t>GNANGO</w:t>
      </w:r>
      <w:r>
        <w:rPr>
          <w:rFonts w:hint="eastAsia"/>
          <w:lang w:val="en-US"/>
        </w:rPr>
        <w:t xml:space="preserve"> shoot each other in the parking lot. No more information about </w:t>
      </w:r>
      <w:r>
        <w:rPr>
          <w:lang w:val="en-US"/>
        </w:rPr>
        <w:t>the</w:t>
      </w:r>
      <w:r>
        <w:rPr>
          <w:rFonts w:hint="eastAsia"/>
          <w:lang w:val="en-US"/>
        </w:rPr>
        <w:t xml:space="preserve"> realtion. A innocent women walked in to the scene and get shot and died. </w:t>
      </w:r>
      <w:r w:rsidRPr="00295160">
        <w:rPr>
          <w:lang w:val="en-US"/>
        </w:rPr>
        <w:t>GNANGO</w:t>
      </w:r>
      <w:r>
        <w:rPr>
          <w:rFonts w:hint="eastAsia"/>
          <w:lang w:val="en-US"/>
        </w:rPr>
        <w:t xml:space="preserve"> was found and captured into custody, charged with murder. However, the bullet killed women was from the </w:t>
      </w:r>
      <w:r w:rsidRPr="00295160">
        <w:rPr>
          <w:lang w:val="en-US"/>
        </w:rPr>
        <w:t>bandana</w:t>
      </w:r>
      <w:r w:rsidRPr="00295160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man.</w:t>
      </w:r>
    </w:p>
    <w:p w14:paraId="1261DA4D" w14:textId="6B70E533" w:rsidR="00295160" w:rsidRDefault="00295160">
      <w:pPr>
        <w:rPr>
          <w:lang w:val="en-US"/>
        </w:rPr>
      </w:pPr>
      <w:r>
        <w:rPr>
          <w:rFonts w:hint="eastAsia"/>
          <w:lang w:val="en-US"/>
        </w:rPr>
        <w:t>The only way to argue is through extended form of JCE. However, they ended up winning the case using transferred malice.</w:t>
      </w:r>
    </w:p>
    <w:p w14:paraId="10BE03CE" w14:textId="77777777" w:rsidR="00295160" w:rsidRDefault="00295160">
      <w:pPr>
        <w:rPr>
          <w:lang w:val="en-US"/>
        </w:rPr>
      </w:pPr>
    </w:p>
    <w:p w14:paraId="1E58F8B5" w14:textId="56FBC24E" w:rsidR="00295160" w:rsidRDefault="00295160">
      <w:pPr>
        <w:rPr>
          <w:lang w:val="en-US"/>
        </w:rPr>
      </w:pPr>
      <w:r>
        <w:rPr>
          <w:rFonts w:hint="eastAsia"/>
          <w:lang w:val="en-US"/>
        </w:rPr>
        <w:t>Two types of JCE.</w:t>
      </w:r>
    </w:p>
    <w:p w14:paraId="020B253E" w14:textId="596BC171" w:rsidR="00295160" w:rsidRDefault="00295160">
      <w:pPr>
        <w:rPr>
          <w:lang w:val="en-US"/>
        </w:rPr>
      </w:pPr>
      <w:r>
        <w:rPr>
          <w:rFonts w:hint="eastAsia"/>
          <w:lang w:val="en-US"/>
        </w:rPr>
        <w:t xml:space="preserve">1. Basic JCE-&gt; </w:t>
      </w:r>
      <w:r w:rsidRPr="00295160">
        <w:rPr>
          <w:lang w:val="en-US"/>
        </w:rPr>
        <w:t>Shared intention to commit a specific crime</w:t>
      </w:r>
      <w:r>
        <w:rPr>
          <w:lang w:val="en-US"/>
        </w:rPr>
        <w:br/>
      </w:r>
      <w:r>
        <w:rPr>
          <w:rFonts w:hint="eastAsia"/>
          <w:lang w:val="en-US"/>
        </w:rPr>
        <w:t>2. Extended JCE(</w:t>
      </w:r>
      <w:r w:rsidRPr="00295160">
        <w:rPr>
          <w:lang w:val="en-US"/>
        </w:rPr>
        <w:t>parasitic accessorial liability</w:t>
      </w:r>
      <w:r>
        <w:rPr>
          <w:rFonts w:hint="eastAsia"/>
          <w:lang w:val="en-US"/>
        </w:rPr>
        <w:t>) -&gt;</w:t>
      </w:r>
      <w:r w:rsidRPr="00295160">
        <w:t xml:space="preserve"> </w:t>
      </w:r>
      <w:r w:rsidRPr="00295160">
        <w:rPr>
          <w:lang w:val="en-US"/>
        </w:rPr>
        <w:t xml:space="preserve">Foresight of an additional crime beyond the </w:t>
      </w:r>
    </w:p>
    <w:p w14:paraId="25744EB9" w14:textId="77777777" w:rsidR="00295160" w:rsidRDefault="00295160">
      <w:pPr>
        <w:rPr>
          <w:lang w:val="en-US"/>
        </w:rPr>
      </w:pPr>
    </w:p>
    <w:p w14:paraId="2B9329CC" w14:textId="343CAF78" w:rsidR="00295160" w:rsidRDefault="00295160" w:rsidP="00295160">
      <w:r w:rsidRPr="00295160">
        <w:t xml:space="preserve">Distinction between ‘pre-planned’ and ‘spontaneous’ violence </w:t>
      </w:r>
    </w:p>
    <w:p w14:paraId="69882A59" w14:textId="6972B610" w:rsidR="00295160" w:rsidRDefault="00295160" w:rsidP="00295160">
      <w:r>
        <w:tab/>
        <w:t>S</w:t>
      </w:r>
      <w:r>
        <w:rPr>
          <w:rFonts w:hint="eastAsia"/>
        </w:rPr>
        <w:t>tandard of withdawl is different</w:t>
      </w:r>
    </w:p>
    <w:p w14:paraId="7B4D00BF" w14:textId="54229C71" w:rsidR="00295160" w:rsidRPr="00295160" w:rsidRDefault="00295160" w:rsidP="00295160">
      <w:pPr>
        <w:rPr>
          <w:lang w:val="en-US"/>
        </w:rPr>
      </w:pPr>
      <w:r>
        <w:rPr>
          <w:rFonts w:hint="eastAsia"/>
        </w:rPr>
        <w:t xml:space="preserve"> </w:t>
      </w:r>
    </w:p>
    <w:p w14:paraId="7332694F" w14:textId="77777777" w:rsidR="00295160" w:rsidRDefault="00295160">
      <w:pPr>
        <w:rPr>
          <w:lang w:val="en-US"/>
        </w:rPr>
      </w:pPr>
    </w:p>
    <w:p w14:paraId="47656CD4" w14:textId="77777777" w:rsidR="00295160" w:rsidRDefault="00295160">
      <w:pPr>
        <w:rPr>
          <w:lang w:val="en-US"/>
        </w:rPr>
      </w:pPr>
    </w:p>
    <w:p w14:paraId="44C4E076" w14:textId="332A8A29" w:rsidR="00303263" w:rsidRDefault="00303263">
      <w:pPr>
        <w:rPr>
          <w:lang w:val="en-US"/>
        </w:rPr>
      </w:pPr>
      <w:r>
        <w:rPr>
          <w:lang w:val="en-US"/>
        </w:rPr>
        <w:t>LEC5:</w:t>
      </w:r>
      <w:r>
        <w:rPr>
          <w:lang w:val="en-US"/>
        </w:rPr>
        <w:br/>
      </w:r>
      <w:r>
        <w:rPr>
          <w:rFonts w:hint="eastAsia"/>
          <w:lang w:val="en-US"/>
        </w:rPr>
        <w:t>Insanity</w:t>
      </w:r>
    </w:p>
    <w:p w14:paraId="5FDDEBAC" w14:textId="5FA718CC" w:rsidR="00303263" w:rsidRDefault="00303263">
      <w:p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ommon law defence, legal test, not medical.</w:t>
      </w:r>
    </w:p>
    <w:p w14:paraId="5117A612" w14:textId="134AE3E6" w:rsidR="00303263" w:rsidRDefault="00303263">
      <w:pPr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’</w:t>
      </w:r>
      <w:r>
        <w:rPr>
          <w:rFonts w:hint="eastAsia"/>
          <w:lang w:val="en-US"/>
        </w:rPr>
        <w:t>Naghten</w:t>
      </w:r>
      <w:r>
        <w:rPr>
          <w:lang w:val="en-US"/>
        </w:rPr>
        <w:t>’</w:t>
      </w:r>
      <w:r>
        <w:rPr>
          <w:rFonts w:hint="eastAsia"/>
          <w:lang w:val="en-US"/>
        </w:rPr>
        <w:t xml:space="preserve">s case-&gt; common law definition of insanity -&gt; </w:t>
      </w:r>
      <w:r>
        <w:rPr>
          <w:lang w:val="en-US"/>
        </w:rPr>
        <w:t>“</w:t>
      </w:r>
      <w:r w:rsidRPr="00303263">
        <w:rPr>
          <w:rFonts w:hint="eastAsia"/>
          <w:color w:val="FF0000"/>
          <w:lang w:val="en-US"/>
        </w:rPr>
        <w:t>l</w:t>
      </w:r>
      <w:r w:rsidRPr="00303263">
        <w:rPr>
          <w:color w:val="FF0000"/>
          <w:lang w:val="en-US"/>
        </w:rPr>
        <w:t>abouring under such a defect of reason, from disease of the mind, as not to know the nature and quality of the act he was doing; or, if he did know it, that he did not know he was doing what was wrong</w:t>
      </w:r>
      <w:r>
        <w:rPr>
          <w:lang w:val="en-US"/>
        </w:rPr>
        <w:t>”</w:t>
      </w:r>
      <w:r>
        <w:rPr>
          <w:rFonts w:hint="eastAsia"/>
          <w:lang w:val="en-US"/>
        </w:rPr>
        <w:t>(this is the the test, other parts talks about the elements of the test)</w:t>
      </w:r>
    </w:p>
    <w:p w14:paraId="4118907B" w14:textId="427854B1" w:rsidR="00303263" w:rsidRDefault="00303263">
      <w:r>
        <w:rPr>
          <w:rFonts w:hint="eastAsia"/>
          <w:b/>
          <w:bCs/>
          <w:u w:val="single"/>
        </w:rPr>
        <w:t xml:space="preserve">Result: </w:t>
      </w:r>
      <w:r w:rsidRPr="00303263">
        <w:rPr>
          <w:b/>
          <w:bCs/>
          <w:u w:val="single"/>
        </w:rPr>
        <w:t>special verdict</w:t>
      </w:r>
      <w:r w:rsidRPr="00303263">
        <w:rPr>
          <w:b/>
          <w:bCs/>
        </w:rPr>
        <w:t xml:space="preserve"> </w:t>
      </w:r>
      <w:r w:rsidRPr="00303263">
        <w:t>that the accused person is “</w:t>
      </w:r>
      <w:r w:rsidRPr="00303263">
        <w:rPr>
          <w:b/>
          <w:bCs/>
          <w:u w:val="single"/>
        </w:rPr>
        <w:t>not guilty by reason of insanity</w:t>
      </w:r>
      <w:r w:rsidRPr="00303263">
        <w:t>”.’</w:t>
      </w:r>
    </w:p>
    <w:p w14:paraId="0D064D6C" w14:textId="11C14982" w:rsidR="00303263" w:rsidRDefault="00303263">
      <w:r w:rsidRPr="00303263">
        <w:t>M’Naghten</w:t>
      </w:r>
      <w:r>
        <w:rPr>
          <w:rFonts w:hint="eastAsia"/>
        </w:rPr>
        <w:t xml:space="preserve"> himself satisfies first limb, but not the second.</w:t>
      </w:r>
    </w:p>
    <w:p w14:paraId="3DA5CB3D" w14:textId="4334537B" w:rsidR="00303263" w:rsidRPr="00303263" w:rsidRDefault="00303263">
      <w:pPr>
        <w:rPr>
          <w:lang w:val="en-US"/>
        </w:rPr>
      </w:pPr>
      <w:r>
        <w:rPr>
          <w:rFonts w:hint="eastAsia"/>
        </w:rPr>
        <w:t>3 Limbs: limb 1and2 is internally linked.</w:t>
      </w:r>
    </w:p>
    <w:p w14:paraId="1AAA73DB" w14:textId="77777777" w:rsidR="00303263" w:rsidRDefault="00303263">
      <w:r w:rsidRPr="00303263">
        <w:rPr>
          <w:rFonts w:hint="eastAsia"/>
        </w:rPr>
        <w:t xml:space="preserve">Limb1: </w:t>
      </w:r>
      <w:r w:rsidRPr="00303263">
        <w:t>Defect of reason</w:t>
      </w:r>
    </w:p>
    <w:p w14:paraId="70158775" w14:textId="182B6B5B" w:rsidR="00303263" w:rsidRPr="00303263" w:rsidRDefault="00303263">
      <w:r w:rsidRPr="00303263">
        <w:rPr>
          <w:rFonts w:hint="eastAsia"/>
        </w:rPr>
        <w:lastRenderedPageBreak/>
        <w:t xml:space="preserve">Limb2: </w:t>
      </w:r>
      <w:r>
        <w:rPr>
          <w:rFonts w:hint="eastAsia"/>
        </w:rPr>
        <w:t>C</w:t>
      </w:r>
      <w:r w:rsidRPr="00303263">
        <w:t>ognitive effect</w:t>
      </w:r>
      <w:r w:rsidRPr="00303263">
        <w:rPr>
          <w:rFonts w:hint="eastAsia"/>
        </w:rPr>
        <w:t xml:space="preserve"> </w:t>
      </w:r>
    </w:p>
    <w:p w14:paraId="626F0051" w14:textId="1DA6DA36" w:rsidR="00303263" w:rsidRDefault="00303263">
      <w:r w:rsidRPr="00303263">
        <w:t>First cognitive effect</w:t>
      </w:r>
      <w:r w:rsidRPr="00303263">
        <w:rPr>
          <w:rFonts w:hint="eastAsia"/>
        </w:rPr>
        <w:t xml:space="preserve">: </w:t>
      </w:r>
      <w:r w:rsidRPr="00303263">
        <w:t>Not to know the nature and quality of act</w:t>
      </w:r>
    </w:p>
    <w:p w14:paraId="1E9127EE" w14:textId="41B5A3D6" w:rsidR="00303263" w:rsidRDefault="00303263">
      <w:r w:rsidRPr="00303263">
        <w:t>Second cognitive effect</w:t>
      </w:r>
      <w:r w:rsidRPr="00303263">
        <w:rPr>
          <w:rFonts w:hint="eastAsia"/>
        </w:rPr>
        <w:t xml:space="preserve">: </w:t>
      </w:r>
      <w:r w:rsidRPr="00303263">
        <w:t>Not to know [that act] is wrong</w:t>
      </w:r>
      <w:r>
        <w:rPr>
          <w:rFonts w:hint="eastAsia"/>
        </w:rPr>
        <w:t xml:space="preserve"> -&gt; dabate of </w:t>
      </w:r>
      <w:r>
        <w:t>“</w:t>
      </w:r>
      <w:r>
        <w:rPr>
          <w:rFonts w:hint="eastAsia"/>
        </w:rPr>
        <w:t>legally wrong</w:t>
      </w:r>
      <w:r>
        <w:t>”</w:t>
      </w:r>
      <w:r>
        <w:rPr>
          <w:rFonts w:hint="eastAsia"/>
        </w:rPr>
        <w:t xml:space="preserve">. </w:t>
      </w:r>
    </w:p>
    <w:p w14:paraId="62BD50D1" w14:textId="164A84A8" w:rsidR="00303263" w:rsidRDefault="00303263">
      <w:r>
        <w:rPr>
          <w:rFonts w:hint="eastAsia"/>
        </w:rPr>
        <w:t>Windle and Stapleton have different version of wrong. Stapleton</w:t>
      </w:r>
      <w:r>
        <w:t>’</w:t>
      </w:r>
      <w:r>
        <w:rPr>
          <w:rFonts w:hint="eastAsia"/>
        </w:rPr>
        <w:t>s morally wrong is  more easily to established. Current state of the law is Keal[2022] EWCA 341.</w:t>
      </w:r>
    </w:p>
    <w:p w14:paraId="1249F70E" w14:textId="6C36C47B" w:rsidR="00303263" w:rsidRPr="00303263" w:rsidRDefault="00303263">
      <w:r>
        <w:rPr>
          <w:rFonts w:hint="eastAsia"/>
        </w:rPr>
        <w:t xml:space="preserve">Lack of volition-&gt; both tests </w:t>
      </w:r>
      <w:r w:rsidRPr="00303263">
        <w:t>does not take into account</w:t>
      </w:r>
      <w:r>
        <w:rPr>
          <w:rFonts w:hint="eastAsia"/>
        </w:rPr>
        <w:t xml:space="preserve"> </w:t>
      </w:r>
      <w:r w:rsidRPr="00303263">
        <w:t>volitional aspects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nsanity does not cover </w:t>
      </w:r>
      <w:r>
        <w:t>“</w:t>
      </w:r>
      <w:r>
        <w:rPr>
          <w:rFonts w:hint="eastAsia"/>
        </w:rPr>
        <w:t>irresistible impulse</w:t>
      </w:r>
      <w:r>
        <w:t>”</w:t>
      </w:r>
      <w:r>
        <w:rPr>
          <w:rFonts w:hint="eastAsia"/>
        </w:rPr>
        <w:t xml:space="preserve"> even its </w:t>
      </w:r>
      <w:r w:rsidRPr="00303263">
        <w:t>pathological</w:t>
      </w:r>
      <w:r>
        <w:rPr>
          <w:rFonts w:hint="eastAsia"/>
        </w:rPr>
        <w:t>ly incurred.</w:t>
      </w:r>
    </w:p>
    <w:p w14:paraId="7D4BA056" w14:textId="5E5AF4D2" w:rsidR="00303263" w:rsidRDefault="00303263">
      <w:r w:rsidRPr="00303263">
        <w:rPr>
          <w:rFonts w:hint="eastAsia"/>
        </w:rPr>
        <w:t xml:space="preserve">Limb3: </w:t>
      </w:r>
      <w:r w:rsidRPr="00303263">
        <w:t>Disease of the mind</w:t>
      </w:r>
    </w:p>
    <w:p w14:paraId="3E2F37D7" w14:textId="613FB23F" w:rsidR="00303263" w:rsidRDefault="00303263">
      <w:r>
        <w:rPr>
          <w:rFonts w:hint="eastAsia"/>
        </w:rPr>
        <w:t>Not a medical term(</w:t>
      </w:r>
      <w:r w:rsidRPr="00303263">
        <w:rPr>
          <w:u w:val="single"/>
        </w:rPr>
        <w:t>Sullivan</w:t>
      </w:r>
      <w:r>
        <w:rPr>
          <w:rFonts w:hint="eastAsia"/>
        </w:rPr>
        <w:t>).</w:t>
      </w:r>
    </w:p>
    <w:p w14:paraId="629293C8" w14:textId="5169C1E1" w:rsidR="00303263" w:rsidRDefault="00303263">
      <w:r>
        <w:rPr>
          <w:rFonts w:hint="eastAsia"/>
        </w:rPr>
        <w:t>Diabetes</w:t>
      </w:r>
    </w:p>
    <w:p w14:paraId="57F1282C" w14:textId="77777777" w:rsidR="00303263" w:rsidRDefault="00303263"/>
    <w:p w14:paraId="773954F1" w14:textId="2786CB58" w:rsidR="00303263" w:rsidRDefault="00303263">
      <w:r w:rsidRPr="00303263">
        <w:t>Automatism</w:t>
      </w:r>
    </w:p>
    <w:p w14:paraId="217C600A" w14:textId="77777777" w:rsidR="00303263" w:rsidRDefault="00303263" w:rsidP="00303263">
      <w:r>
        <w:t>Three common law limitations on ‘automatism’ as a</w:t>
      </w:r>
    </w:p>
    <w:p w14:paraId="4824ECEA" w14:textId="5057AEE5" w:rsidR="00303263" w:rsidRDefault="00303263" w:rsidP="00303263">
      <w:r>
        <w:t>basis for denying criminal liability:</w:t>
      </w:r>
    </w:p>
    <w:p w14:paraId="4BA19B9B" w14:textId="2D1D93EF" w:rsidR="00303263" w:rsidRDefault="00303263" w:rsidP="00303263">
      <w:r>
        <w:t>1. ‘Proper evidential foundation’</w:t>
      </w:r>
    </w:p>
    <w:p w14:paraId="11DB77E8" w14:textId="657E2538" w:rsidR="00303263" w:rsidRDefault="00303263" w:rsidP="00303263">
      <w:r>
        <w:t>2. Not caused by a ‘disease of mind’: ie. not ‘insane automatism’</w:t>
      </w:r>
    </w:p>
    <w:p w14:paraId="328ECFFE" w14:textId="61DB561F" w:rsidR="00303263" w:rsidRPr="00303263" w:rsidRDefault="00303263" w:rsidP="00303263">
      <w:r>
        <w:t>3. Not ‘self-induced’: ie. not caused by D’s own prior fault;  overlaps with ‘intoxication’ principles</w:t>
      </w:r>
    </w:p>
    <w:p w14:paraId="45C5A416" w14:textId="77777777" w:rsidR="00303263" w:rsidRDefault="00303263"/>
    <w:p w14:paraId="789F2134" w14:textId="77777777" w:rsidR="00303263" w:rsidRPr="00303263" w:rsidRDefault="00303263">
      <w:pPr>
        <w:rPr>
          <w:lang w:val="en-US"/>
        </w:rPr>
      </w:pPr>
    </w:p>
    <w:p w14:paraId="6F1F5B9B" w14:textId="6A3B2918" w:rsidR="00303263" w:rsidRDefault="000666E5">
      <w:r>
        <w:rPr>
          <w:rFonts w:hint="eastAsia"/>
        </w:rPr>
        <w:t>LEC6:</w:t>
      </w:r>
    </w:p>
    <w:p w14:paraId="12602558" w14:textId="468EE16E" w:rsidR="000666E5" w:rsidRDefault="000666E5">
      <w:pPr>
        <w:rPr>
          <w:lang w:val="en-US"/>
        </w:rPr>
      </w:pPr>
      <w:r>
        <w:rPr>
          <w:lang w:val="en-US"/>
        </w:rPr>
        <w:t>Insanity vs. diminished responsibility -&gt;Full defence vs. partial defence</w:t>
      </w:r>
    </w:p>
    <w:p w14:paraId="4294AAC3" w14:textId="38076727" w:rsidR="000666E5" w:rsidRDefault="000666E5">
      <w:pPr>
        <w:rPr>
          <w:lang w:val="en-US"/>
        </w:rPr>
      </w:pPr>
      <w:r>
        <w:rPr>
          <w:lang w:val="en-US"/>
        </w:rPr>
        <w:t>Limb1:</w:t>
      </w:r>
      <w:r w:rsidRPr="000666E5">
        <w:rPr>
          <w:rFonts w:asciiTheme="majorHAnsi" w:eastAsiaTheme="majorEastAsia" w:hAnsi="Gill Sans MT" w:cstheme="majorBidi"/>
          <w:caps/>
          <w:color w:val="000000" w:themeColor="text1"/>
          <w:kern w:val="24"/>
          <w:sz w:val="64"/>
          <w:szCs w:val="64"/>
          <w:lang w:val="en-US"/>
        </w:rPr>
        <w:t xml:space="preserve"> </w:t>
      </w:r>
      <w:r w:rsidRPr="000666E5">
        <w:rPr>
          <w:lang w:val="en-US"/>
        </w:rPr>
        <w:t>abnormality of mind</w:t>
      </w:r>
    </w:p>
    <w:p w14:paraId="10753762" w14:textId="3BB465B2" w:rsidR="000666E5" w:rsidRDefault="000666E5">
      <w:pPr>
        <w:rPr>
          <w:lang w:val="en-US"/>
        </w:rPr>
      </w:pPr>
      <w:r w:rsidRPr="000666E5">
        <w:rPr>
          <w:lang w:val="en-US"/>
        </w:rPr>
        <w:t xml:space="preserve">A fortiori there is </w:t>
      </w:r>
      <w:r w:rsidRPr="000666E5">
        <w:rPr>
          <w:color w:val="FF0000"/>
          <w:lang w:val="en-US"/>
        </w:rPr>
        <w:t xml:space="preserve">no scientific measurement </w:t>
      </w:r>
      <w:r w:rsidRPr="000666E5">
        <w:rPr>
          <w:lang w:val="en-US"/>
        </w:rPr>
        <w:t>of the degree of difficulty which an abnormal person finds in controlling his impulses.</w:t>
      </w:r>
    </w:p>
    <w:p w14:paraId="474FD108" w14:textId="100F9DEC" w:rsidR="000666E5" w:rsidRDefault="000666E5">
      <w:pPr>
        <w:rPr>
          <w:lang w:val="en-US"/>
        </w:rPr>
      </w:pPr>
      <w:r>
        <w:rPr>
          <w:lang w:val="en-US"/>
        </w:rPr>
        <w:t xml:space="preserve">Limb2: </w:t>
      </w:r>
      <w:r w:rsidRPr="000666E5">
        <w:rPr>
          <w:lang w:val="en-US"/>
        </w:rPr>
        <w:t>substantial impairment of mental responsibility</w:t>
      </w:r>
    </w:p>
    <w:p w14:paraId="73B39C79" w14:textId="12FF4A5B" w:rsidR="000666E5" w:rsidRDefault="000666E5">
      <w:pPr>
        <w:rPr>
          <w:lang w:val="en-US"/>
        </w:rPr>
      </w:pPr>
      <w:r>
        <w:rPr>
          <w:lang w:val="en-US"/>
        </w:rPr>
        <w:t xml:space="preserve">Medical evidence could be helpful but not decisive that could raise the impai level to substantial threshold(Bryne). </w:t>
      </w:r>
    </w:p>
    <w:p w14:paraId="4921A3B6" w14:textId="031381CA" w:rsidR="000666E5" w:rsidRDefault="000666E5">
      <w:pPr>
        <w:rPr>
          <w:lang w:val="en-US"/>
        </w:rPr>
      </w:pPr>
      <w:r>
        <w:rPr>
          <w:lang w:val="en-US"/>
        </w:rPr>
        <w:t>Limb3:</w:t>
      </w:r>
      <w:r w:rsidRPr="000666E5">
        <w:rPr>
          <w:rFonts w:asciiTheme="majorHAnsi" w:eastAsiaTheme="majorEastAsia" w:hAnsi="Gill Sans MT" w:cstheme="majorBidi"/>
          <w:caps/>
          <w:color w:val="000000" w:themeColor="text1"/>
          <w:kern w:val="24"/>
          <w:sz w:val="64"/>
          <w:szCs w:val="64"/>
          <w:lang w:val="en-US"/>
        </w:rPr>
        <w:t xml:space="preserve"> </w:t>
      </w:r>
      <w:r w:rsidRPr="000666E5">
        <w:rPr>
          <w:lang w:val="en-US"/>
        </w:rPr>
        <w:t>aetiology – ARISING FROM WHAT?</w:t>
      </w:r>
    </w:p>
    <w:p w14:paraId="398424C1" w14:textId="37B149FF" w:rsidR="000666E5" w:rsidRDefault="000666E5">
      <w:pPr>
        <w:rPr>
          <w:lang w:val="en-US"/>
        </w:rPr>
      </w:pPr>
      <w:r w:rsidRPr="000666E5">
        <w:rPr>
          <w:lang w:val="en-US"/>
        </w:rPr>
        <w:lastRenderedPageBreak/>
        <w:t>Need to be “arising from a condition of arrested or retarded development of mind or any inherent causes or induced by disease or injury”</w:t>
      </w:r>
    </w:p>
    <w:p w14:paraId="037855C5" w14:textId="75C21302" w:rsidR="000666E5" w:rsidRDefault="000666E5">
      <w:pPr>
        <w:rPr>
          <w:lang w:val="en-US"/>
        </w:rPr>
      </w:pPr>
      <w:r>
        <w:rPr>
          <w:lang w:val="en-US"/>
        </w:rPr>
        <w:tab/>
        <w:t>Drugs and Drinking:</w:t>
      </w:r>
    </w:p>
    <w:p w14:paraId="6C8314FF" w14:textId="7298D211" w:rsidR="006B0CEF" w:rsidRDefault="006B0C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B0CEF">
        <w:rPr>
          <w:u w:val="single"/>
          <w:lang w:val="en-US"/>
        </w:rPr>
        <w:t>Tandy</w:t>
      </w:r>
      <w:r w:rsidRPr="006B0CEF">
        <w:rPr>
          <w:lang w:val="en-US"/>
        </w:rPr>
        <w:t xml:space="preserve"> [1988] Crim LR 308</w:t>
      </w:r>
      <w:r>
        <w:rPr>
          <w:lang w:val="en-US"/>
        </w:rPr>
        <w:t>: Tandy</w:t>
      </w:r>
      <w:r w:rsidRPr="006B0CEF">
        <w:rPr>
          <w:lang w:val="en-US"/>
        </w:rPr>
        <w:t xml:space="preserve"> was an alcoholic. She killed her 11 year old daughter by strangulation after the daughter told her she was being sexually abused by her step father. </w:t>
      </w:r>
      <w:r>
        <w:rPr>
          <w:lang w:val="en-US"/>
        </w:rPr>
        <w:t xml:space="preserve">Tandy himself does not  succeed on diminished responsibility because he drank more than normal on the day of killing. However, </w:t>
      </w:r>
      <w:r w:rsidRPr="006B0CEF">
        <w:rPr>
          <w:lang w:val="en-US"/>
        </w:rPr>
        <w:t>alcoholism</w:t>
      </w:r>
      <w:r>
        <w:rPr>
          <w:lang w:val="en-US"/>
        </w:rPr>
        <w:t xml:space="preserve"> is an inherent cause which can be relyed on for diminished responsibility defence.</w:t>
      </w:r>
    </w:p>
    <w:p w14:paraId="52984480" w14:textId="2B0E0D0F" w:rsidR="000666E5" w:rsidRDefault="000666E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Often succeed when arguing that drinking or taking drugs are caused by </w:t>
      </w:r>
      <w:r w:rsidRPr="000666E5">
        <w:rPr>
          <w:b/>
          <w:bCs/>
          <w:u w:val="single"/>
          <w:lang w:val="en-US"/>
        </w:rPr>
        <w:t>inherent</w:t>
      </w:r>
      <w:r w:rsidRPr="000666E5">
        <w:rPr>
          <w:b/>
          <w:bCs/>
          <w:lang w:val="en-US"/>
        </w:rPr>
        <w:t xml:space="preserve"> causes/disease/injury</w:t>
      </w:r>
    </w:p>
    <w:p w14:paraId="76A74C06" w14:textId="77777777" w:rsidR="00312D1E" w:rsidRDefault="00312D1E">
      <w:pPr>
        <w:rPr>
          <w:b/>
          <w:bCs/>
          <w:lang w:val="en-US"/>
        </w:rPr>
      </w:pPr>
    </w:p>
    <w:p w14:paraId="6083529B" w14:textId="7DB168FC" w:rsidR="00312D1E" w:rsidRDefault="00312D1E">
      <w:pPr>
        <w:rPr>
          <w:lang w:val="en-US"/>
        </w:rPr>
      </w:pPr>
      <w:r w:rsidRPr="009D311D">
        <w:rPr>
          <w:lang w:val="en-US"/>
        </w:rPr>
        <w:t xml:space="preserve">In DR case, hospital order is not mandatory but can be </w:t>
      </w:r>
      <w:r w:rsidR="009D311D" w:rsidRPr="009D311D">
        <w:rPr>
          <w:lang w:val="en-US"/>
        </w:rPr>
        <w:t>given by the judge if deemed necessary.</w:t>
      </w:r>
    </w:p>
    <w:p w14:paraId="443AFD8E" w14:textId="48FA9053" w:rsidR="009D311D" w:rsidRDefault="009D311D">
      <w:pPr>
        <w:rPr>
          <w:lang w:val="en-US"/>
        </w:rPr>
      </w:pPr>
      <w:r>
        <w:rPr>
          <w:rFonts w:hint="eastAsia"/>
          <w:lang w:val="en-US"/>
        </w:rPr>
        <w:t>New UK Law vs HK LAW:</w:t>
      </w:r>
    </w:p>
    <w:p w14:paraId="6C4F21F0" w14:textId="2B5555D4" w:rsidR="009D311D" w:rsidRDefault="009D311D">
      <w:pPr>
        <w:rPr>
          <w:lang w:val="en-US"/>
        </w:rPr>
      </w:pPr>
      <w:r>
        <w:rPr>
          <w:lang w:val="en-US"/>
        </w:rPr>
        <w:tab/>
        <w:t>M</w:t>
      </w:r>
      <w:r>
        <w:rPr>
          <w:rFonts w:hint="eastAsia"/>
          <w:lang w:val="en-US"/>
        </w:rPr>
        <w:t xml:space="preserve">ust arose from recognized medical </w:t>
      </w:r>
      <w:r>
        <w:rPr>
          <w:lang w:val="en-US"/>
        </w:rPr>
        <w:t>condition</w:t>
      </w:r>
      <w:r>
        <w:rPr>
          <w:rFonts w:hint="eastAsia"/>
          <w:lang w:val="en-US"/>
        </w:rPr>
        <w:t xml:space="preserve"> vs. no medical evidence required.</w:t>
      </w:r>
    </w:p>
    <w:p w14:paraId="0730E46C" w14:textId="53B2F4B2" w:rsidR="009D311D" w:rsidRDefault="009D311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1A-&gt; better than exiting law or restatement of the old case law.</w:t>
      </w:r>
    </w:p>
    <w:p w14:paraId="66ABC733" w14:textId="77777777" w:rsidR="001E14A6" w:rsidRDefault="001E14A6">
      <w:pPr>
        <w:rPr>
          <w:lang w:val="en-US"/>
        </w:rPr>
      </w:pPr>
    </w:p>
    <w:p w14:paraId="690A1345" w14:textId="77777777" w:rsidR="001E14A6" w:rsidRDefault="001E14A6">
      <w:pPr>
        <w:rPr>
          <w:lang w:val="en-US"/>
        </w:rPr>
      </w:pPr>
    </w:p>
    <w:p w14:paraId="7ABD04AA" w14:textId="77777777" w:rsidR="001E14A6" w:rsidRDefault="001E14A6">
      <w:pPr>
        <w:rPr>
          <w:lang w:val="en-US"/>
        </w:rPr>
      </w:pPr>
    </w:p>
    <w:p w14:paraId="133EB666" w14:textId="5867D813" w:rsidR="001E14A6" w:rsidRDefault="001E14A6">
      <w:pPr>
        <w:rPr>
          <w:lang w:val="en-US"/>
        </w:rPr>
      </w:pPr>
      <w:r>
        <w:rPr>
          <w:rFonts w:hint="eastAsia"/>
          <w:lang w:val="en-US"/>
        </w:rPr>
        <w:t xml:space="preserve">Lec7 </w:t>
      </w:r>
    </w:p>
    <w:p w14:paraId="0379E7F9" w14:textId="77777777" w:rsidR="001E14A6" w:rsidRDefault="001E14A6">
      <w:pPr>
        <w:rPr>
          <w:lang w:val="en-US"/>
        </w:rPr>
      </w:pPr>
    </w:p>
    <w:p w14:paraId="79127AE5" w14:textId="44EA6137" w:rsidR="001E14A6" w:rsidRDefault="001E14A6">
      <w:pPr>
        <w:rPr>
          <w:lang w:val="en-US"/>
        </w:rPr>
      </w:pPr>
      <w:r w:rsidRPr="001E14A6">
        <w:rPr>
          <w:lang w:val="en-US"/>
        </w:rPr>
        <w:t>DPP v. Majewski [1977]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distinguish specific intent and basic intent.</w:t>
      </w:r>
    </w:p>
    <w:p w14:paraId="0EC05936" w14:textId="77777777" w:rsidR="00E12D17" w:rsidRDefault="001E14A6">
      <w:pPr>
        <w:rPr>
          <w:lang w:val="en-US"/>
        </w:rPr>
      </w:pPr>
      <w:r>
        <w:rPr>
          <w:rFonts w:hint="eastAsia"/>
          <w:lang w:val="en-US"/>
        </w:rPr>
        <w:t xml:space="preserve">There is no clear doctrinal principle </w:t>
      </w:r>
      <w:r w:rsidR="00E12D17">
        <w:rPr>
          <w:rFonts w:hint="eastAsia"/>
          <w:lang w:val="en-US"/>
        </w:rPr>
        <w:t>leading to</w:t>
      </w:r>
      <w:r>
        <w:rPr>
          <w:rFonts w:hint="eastAsia"/>
          <w:lang w:val="en-US"/>
        </w:rPr>
        <w:t xml:space="preserve"> the distinction of </w:t>
      </w:r>
      <w:r w:rsidR="00E12D17">
        <w:rPr>
          <w:rFonts w:hint="eastAsia"/>
          <w:lang w:val="en-US"/>
        </w:rPr>
        <w:t xml:space="preserve">specific intent and basic intent. </w:t>
      </w:r>
      <w:r w:rsidR="00E12D17">
        <w:rPr>
          <w:lang w:val="en-US"/>
        </w:rPr>
        <w:t xml:space="preserve">It’s </w:t>
      </w:r>
      <w:r w:rsidR="00E12D17">
        <w:rPr>
          <w:rFonts w:hint="eastAsia"/>
          <w:lang w:val="en-US"/>
        </w:rPr>
        <w:t xml:space="preserve">more based on policy rather than principle. </w:t>
      </w:r>
    </w:p>
    <w:p w14:paraId="1A1074E0" w14:textId="042B1FDF" w:rsidR="001E14A6" w:rsidRDefault="001E14A6">
      <w:p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 xml:space="preserve">reate a list of crimes of specific intent and basic intent. </w:t>
      </w:r>
    </w:p>
    <w:p w14:paraId="11773A0C" w14:textId="77777777" w:rsidR="00E12D17" w:rsidRDefault="00E12D17">
      <w:pPr>
        <w:rPr>
          <w:rFonts w:hint="eastAsia"/>
          <w:lang w:val="en-US"/>
        </w:rPr>
      </w:pPr>
    </w:p>
    <w:p w14:paraId="448A548B" w14:textId="77777777" w:rsidR="009D311D" w:rsidRPr="009D311D" w:rsidRDefault="009D311D">
      <w:pPr>
        <w:rPr>
          <w:lang w:val="en-US"/>
        </w:rPr>
      </w:pPr>
    </w:p>
    <w:sectPr w:rsidR="009D311D" w:rsidRPr="009D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C31D8"/>
    <w:multiLevelType w:val="hybridMultilevel"/>
    <w:tmpl w:val="AF5E32CE"/>
    <w:lvl w:ilvl="0" w:tplc="4F085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4D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488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40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B0B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CCB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D29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0A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28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F92413"/>
    <w:multiLevelType w:val="hybridMultilevel"/>
    <w:tmpl w:val="2B90A49C"/>
    <w:lvl w:ilvl="0" w:tplc="94DAD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9EA3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7850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8AE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9058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C5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46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4C8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BC03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023563">
    <w:abstractNumId w:val="0"/>
  </w:num>
  <w:num w:numId="2" w16cid:durableId="985352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63"/>
    <w:rsid w:val="000666E5"/>
    <w:rsid w:val="0014162F"/>
    <w:rsid w:val="001E14A6"/>
    <w:rsid w:val="00295160"/>
    <w:rsid w:val="00303263"/>
    <w:rsid w:val="00312D1E"/>
    <w:rsid w:val="006A0D5C"/>
    <w:rsid w:val="006B0CEF"/>
    <w:rsid w:val="009D311D"/>
    <w:rsid w:val="00E12D17"/>
    <w:rsid w:val="00EC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850ED"/>
  <w15:chartTrackingRefBased/>
  <w15:docId w15:val="{F20E39E6-6F36-BA46-A00B-14661EB6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160"/>
  </w:style>
  <w:style w:type="paragraph" w:styleId="Heading1">
    <w:name w:val="heading 1"/>
    <w:basedOn w:val="Normal"/>
    <w:next w:val="Normal"/>
    <w:link w:val="Heading1Char"/>
    <w:uiPriority w:val="9"/>
    <w:qFormat/>
    <w:rsid w:val="00EC1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7271">
          <w:marLeft w:val="202"/>
          <w:marRight w:val="504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489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9697">
          <w:marLeft w:val="288"/>
          <w:marRight w:val="37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642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471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3727">
          <w:marLeft w:val="202"/>
          <w:marRight w:val="504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011">
          <w:marLeft w:val="74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Chen</dc:creator>
  <cp:keywords/>
  <dc:description/>
  <cp:lastModifiedBy>Yang, Chen</cp:lastModifiedBy>
  <cp:revision>8</cp:revision>
  <dcterms:created xsi:type="dcterms:W3CDTF">2025-02-20T03:42:00Z</dcterms:created>
  <dcterms:modified xsi:type="dcterms:W3CDTF">2025-03-20T06:42:00Z</dcterms:modified>
</cp:coreProperties>
</file>