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C51B2A"/>
          <w:sz w:val="20"/>
        </w:rPr>
        <w:t>APEX REPORTING TEMPLATE</w:t>
      </w:r>
    </w:p>
    <w:p>
      <w:pPr>
        <w:spacing w:before="0" w:after="280" w:line="240" w:lineRule="auto"/>
        <w:pBdr>
          <w:bottom w:val="single" w:sz="16" w:space="8" w:color="C51B2A"/>
        </w:pBdr>
      </w:pPr>
      <w:r>
        <w:rPr>
          <w:rFonts w:ascii="Calibri" w:hAnsi="Calibri" w:eastAsia="Microsoft YaHei"/>
          <w:b/>
          <w:i w:val="0"/>
          <w:color w:val="0B2545"/>
          <w:sz w:val="48"/>
        </w:rPr>
        <w:t>APAC — CHINA WEEKLY</w:t>
        <w:br/>
        <w:t>COMMUNITY SENTIMENT REPORT</w:t>
      </w:r>
    </w:p>
    <w:p>
      <w:pPr>
        <w:spacing w:before="0" w:after="360" w:line="264" w:lineRule="auto"/>
      </w:pPr>
      <w:r>
        <w:rPr>
          <w:rFonts w:ascii="Calibri" w:hAnsi="Calibri" w:eastAsia="Microsoft YaHei"/>
          <w:b w:val="0"/>
          <w:i w:val="0"/>
          <w:color w:val="5B6573"/>
          <w:sz w:val="24"/>
        </w:rPr>
        <w:t>A China-only executive template for evidence-led weekly community reporting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80"/>
        <w:gridCol w:w="1500"/>
        <w:gridCol w:w="3180"/>
      </w:tblGrid>
      <w:tr>
        <w:trPr>
          <w:tblHeader w:val="true"/>
          <w:cantSplit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REPORT FIELD</w:t>
            </w:r>
          </w:p>
        </w:tc>
        <w:tc>
          <w:tcPr>
            <w:tcW w:type="dxa" w:w="3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VALUE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REPORT FIELD</w:t>
            </w:r>
          </w:p>
        </w:tc>
        <w:tc>
          <w:tcPr>
            <w:tcW w:type="dxa" w:w="3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Reporting period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[YYYY/MM/DD–YYYY/MM/DD]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Region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China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Game / product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[Name]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Prepared by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[Team / Analyst]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Data sources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[China platforms / tools]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Template version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3.0</w:t>
            </w:r>
          </w:p>
        </w:tc>
      </w:tr>
    </w:tbl>
    <w:p>
      <w:pPr>
        <w:spacing w:after="20"/>
      </w:pPr>
    </w:p>
    <w:p>
      <w:pPr>
        <w:keepLines/>
        <w:spacing w:before="40" w:after="160" w:line="264" w:lineRule="auto"/>
        <w:ind w:left="115" w:right="115"/>
        <w:shd w:fill="F4F6F9"/>
        <w:pBdr>
          <w:top w:val="single" w:sz="6" w:space="7" w:color="D7DBE2"/>
          <w:start w:val="single" w:sz="6" w:space="7" w:color="D7DBE2"/>
          <w:bottom w:val="single" w:sz="6" w:space="7" w:color="D7DBE2"/>
          <w:end w:val="single" w:sz="6" w:space="7" w:color="D7DBE2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SCOPE: </w:t>
      </w:r>
      <w:r>
        <w:rPr>
          <w:rFonts w:ascii="Calibri" w:hAnsi="Calibri" w:eastAsia="Microsoft YaHei"/>
          <w:color w:val="0B2545"/>
          <w:sz w:val="20"/>
        </w:rPr>
        <w:t>China only. The China reporting team does not aggregate other regional reports. Use a complete natural week and label missing, estimated, or sample-limited inputs explicitly.</w:t>
      </w:r>
    </w:p>
    <w:p>
      <w:pPr>
        <w:keepLines/>
        <w:spacing w:before="40" w:after="160" w:line="264" w:lineRule="auto"/>
        <w:ind w:left="115" w:right="115"/>
        <w:shd w:fill="F4F6F9"/>
        <w:pBdr>
          <w:top w:val="single" w:sz="6" w:space="7" w:color="D7DBE2"/>
          <w:start w:val="single" w:sz="6" w:space="7" w:color="D7DBE2"/>
          <w:bottom w:val="single" w:sz="6" w:space="7" w:color="D7DBE2"/>
          <w:end w:val="single" w:sz="6" w:space="7" w:color="D7DBE2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NARRATIVE SEQUENCE: </w:t>
      </w:r>
      <w:r>
        <w:rPr>
          <w:rFonts w:ascii="Calibri" w:hAnsi="Calibri" w:eastAsia="Microsoft YaHei"/>
          <w:color w:val="0B2545"/>
          <w:sz w:val="20"/>
        </w:rPr>
        <w:t>Conclusion → Attribution → Evidence → Comparison → Impact. Present drivers in the order Positive → Neutral or Mixed → Negative.</w:t>
      </w:r>
    </w:p>
    <w:p>
      <w:pPr>
        <w:pStyle w:val="Heading1"/>
      </w:pPr>
      <w:r>
        <w:t>1. OVERVIEW</w:t>
      </w:r>
    </w:p>
    <w:p>
      <w:pPr>
        <w:pStyle w:val="Heading2"/>
      </w:pPr>
      <w:r>
        <w:t>Executive Summary</w:t>
      </w:r>
    </w:p>
    <w:p>
      <w:pPr>
        <w:keepLines/>
        <w:spacing w:before="40" w:after="160" w:line="264" w:lineRule="auto"/>
        <w:ind w:left="115" w:right="115"/>
        <w:shd w:fill="F4F6F9"/>
        <w:pBdr>
          <w:top w:val="single" w:sz="6" w:space="7" w:color="D7DBE2"/>
          <w:start w:val="single" w:sz="6" w:space="7" w:color="D7DBE2"/>
          <w:bottom w:val="single" w:sz="6" w:space="7" w:color="D7DBE2"/>
          <w:end w:val="single" w:sz="6" w:space="7" w:color="D7DBE2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WRITE 80–140 WORDS: </w:t>
      </w:r>
      <w:r>
        <w:rPr>
          <w:rFonts w:ascii="Calibri" w:hAnsi="Calibri" w:eastAsia="Microsoft YaHei"/>
          <w:color w:val="0B2545"/>
          <w:sz w:val="20"/>
        </w:rPr>
        <w:t>State the China community direction first, identify the most material opportunity and risk, explain the main week-over-week change, and end with the expected impact.</w:t>
      </w:r>
    </w:p>
    <w:p>
      <w:pPr>
        <w:spacing w:before="0" w:after="200" w:line="264" w:lineRule="auto"/>
      </w:pPr>
      <w:r>
        <w:rPr>
          <w:rFonts w:ascii="Calibri" w:hAnsi="Calibri" w:eastAsia="Microsoft YaHei"/>
          <w:b w:val="0"/>
          <w:i/>
          <w:color w:val="5B6573"/>
          <w:sz w:val="22"/>
        </w:rPr>
        <w:t>[Executive summary]</w:t>
      </w:r>
    </w:p>
    <w:p>
      <w:pPr>
        <w:pStyle w:val="Heading2"/>
      </w:pPr>
      <w:r>
        <w:t>China Weekly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800"/>
        <w:gridCol w:w="1800"/>
        <w:gridCol w:w="2760"/>
      </w:tblGrid>
      <w:tr>
        <w:trPr>
          <w:tblHeader w:val="true"/>
          <w:cantSplit w:val="true"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METRIC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CURRENT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PREVIOUS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WEEK-OVER-WEEK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Overall sentiment metric [define]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[↑ / ↓ / =  change]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Primary positive driver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[Topic]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[Topic]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[What changed]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Primary neutral / mixed driver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[Topic]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[Topic]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[What changed]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Primary negative driver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[Topic]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[Topic]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[What changed]</w:t>
            </w:r>
          </w:p>
        </w:tc>
      </w:tr>
    </w:tbl>
    <w:p>
      <w:pPr>
        <w:spacing w:after="20"/>
      </w:pP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4D78"/>
          <w:sz w:val="20"/>
        </w:rPr>
        <w:t>China summary — 120–180 Chinese characters or 60–100 English words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/>
          <w:color w:val="5B6573"/>
          <w:sz w:val="22"/>
        </w:rPr>
        <w:t>[Conclusion, key drivers, observable evidence, previous-week comparison, and likely impact.]</w:t>
      </w:r>
    </w:p>
    <w:p>
      <w:pPr>
        <w:pStyle w:val="Heading1"/>
      </w:pPr>
      <w:r>
        <w:t>2. TOP CONVERSATION DRIVERS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B6573"/>
          <w:sz w:val="20"/>
        </w:rPr>
        <w:t>List only material China drivers. If fewer than ten meet the reporting threshold, do not call this section “Top 10.”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500"/>
        <w:gridCol w:w="1080"/>
        <w:gridCol w:w="1080"/>
        <w:gridCol w:w="900"/>
        <w:gridCol w:w="1500"/>
        <w:gridCol w:w="2780"/>
      </w:tblGrid>
      <w:tr>
        <w:trPr>
          <w:tblHeader w:val="true"/>
          <w:cantSplit w:val="true"/>
        </w:trPr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#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DRIVER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CURRENT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PREVIOUS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WOW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LABEL</w:t>
            </w:r>
          </w:p>
        </w:tc>
        <w:tc>
          <w:tcPr>
            <w:tcW w:type="dxa" w:w="2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EVIDENCE-LED NARRATIVE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[Topic]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[X.X% / N]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[X.X% / N]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[New / ↑ / ↓ / =]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[Positive / Neutral / Mixed / Negative]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[Reaction + reason + comparison + impact]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[Topic]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[Topic]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[Topic]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[Topic]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2"/>
      </w:pPr>
      <w:r>
        <w:t>China Topic Notes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[Topic] — [Positive / Neutral / Mixed / Negative] — [Storyline stage]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/>
          <w:color w:val="5B6573"/>
          <w:sz w:val="22"/>
        </w:rPr>
        <w:t>Players [reaction or behavior] because [reason]. Compared with [previous week / expectation / earlier version], [difference]. This contributed to [sentiment / participation / viewership / trust].</w:t>
      </w:r>
    </w:p>
    <w:p>
      <w:pPr>
        <w:keepLines/>
        <w:spacing w:before="40" w:after="160" w:line="264" w:lineRule="auto"/>
        <w:ind w:left="115" w:right="115"/>
        <w:shd w:fill="F4F6F9"/>
        <w:pBdr>
          <w:top w:val="single" w:sz="6" w:space="7" w:color="D7DBE2"/>
          <w:start w:val="single" w:sz="6" w:space="7" w:color="D7DBE2"/>
          <w:bottom w:val="single" w:sz="6" w:space="7" w:color="D7DBE2"/>
          <w:end w:val="single" w:sz="6" w:space="7" w:color="D7DBE2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MIXED-SENTIMENT PATTERN: </w:t>
      </w:r>
      <w:r>
        <w:rPr>
          <w:rFonts w:ascii="Calibri" w:hAnsi="Calibri" w:eastAsia="Microsoft YaHei"/>
          <w:color w:val="0B2545"/>
          <w:sz w:val="20"/>
        </w:rPr>
        <w:t>Players welcomed [positive aspect], but concerns remained around [negative aspect]. Compared with [reference point], the feature was seen as [relative judgment], resulting in an overall mixed response.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B6573"/>
          <w:sz w:val="20"/>
        </w:rPr>
        <w:t>For recurring topics, state what changed and advance the storyline: anticipation → launch → initial reaction → evaluation → problem attribution → clarification → resolution or persistence.</w:t>
      </w:r>
    </w:p>
    <w:p>
      <w:pPr>
        <w:pStyle w:val="Heading1"/>
      </w:pPr>
      <w:r>
        <w:t>3. SENTIMENT HISTORY</w:t>
      </w:r>
    </w:p>
    <w:p>
      <w:pPr>
        <w:pStyle w:val="Heading2"/>
      </w:pPr>
      <w:r>
        <w:t>Weekly Trend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0"/>
        <w:gridCol w:w="1200"/>
        <w:gridCol w:w="900"/>
        <w:gridCol w:w="1600"/>
        <w:gridCol w:w="1600"/>
        <w:gridCol w:w="1600"/>
        <w:gridCol w:w="1580"/>
      </w:tblGrid>
      <w:tr>
        <w:trPr>
          <w:tblHeader w:val="true"/>
          <w:cantSplit w:val="true"/>
        </w:trPr>
        <w:tc>
          <w:tcPr>
            <w:tcW w:type="dxa" w:w="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WEEK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CHINA METRIC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WOW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POSITIVE DRIVER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NEUTRAL / MIXED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NEGATIVE DRIVER</w:t>
            </w:r>
          </w:p>
        </w:tc>
        <w:tc>
          <w:tcPr>
            <w:tcW w:type="dxa" w:w="1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STAGE</w:t>
            </w:r>
          </w:p>
        </w:tc>
      </w:tr>
      <w:tr>
        <w:trPr>
          <w:cantSplit w:val="true"/>
        </w:trPr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[W-3]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</w:tr>
      <w:tr>
        <w:trPr>
          <w:cantSplit w:val="true"/>
        </w:trPr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[W-2]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</w:tr>
      <w:tr>
        <w:trPr>
          <w:cantSplit w:val="true"/>
        </w:trPr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[W-1]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</w:tr>
      <w:tr>
        <w:trPr>
          <w:cantSplit w:val="true"/>
        </w:trPr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[Current]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2"/>
      </w:pPr>
      <w:r>
        <w:t>Trend Interpretation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/>
          <w:color w:val="5B6573"/>
          <w:sz w:val="22"/>
        </w:rPr>
        <w:t>Over the past [number] weeks, China community sentiment has [trend], primarily influenced by [recurring topic]. The current week marks the [storyline stage]. Compared with [reference point], this appears to have affected [trust / participation / feature adoption / viewership].</w:t>
      </w:r>
    </w:p>
    <w:p>
      <w:pPr>
        <w:pStyle w:val="Heading1"/>
      </w:pPr>
      <w:r>
        <w:t>4. UGC / STREAM VIEWERSHIP</w:t>
      </w:r>
    </w:p>
    <w:p>
      <w:pPr>
        <w:keepLines/>
        <w:spacing w:before="40" w:after="160" w:line="264" w:lineRule="auto"/>
        <w:ind w:left="115" w:right="115"/>
        <w:shd w:fill="F4F6F9"/>
        <w:pBdr>
          <w:top w:val="single" w:sz="6" w:space="7" w:color="D7DBE2"/>
          <w:start w:val="single" w:sz="6" w:space="7" w:color="D7DBE2"/>
          <w:bottom w:val="single" w:sz="6" w:space="7" w:color="D7DBE2"/>
          <w:end w:val="single" w:sz="6" w:space="7" w:color="D7DBE2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INTERPRETATION RULE: </w:t>
      </w:r>
      <w:r>
        <w:rPr>
          <w:rFonts w:ascii="Calibri" w:hAnsi="Calibri" w:eastAsia="Microsoft YaHei"/>
          <w:color w:val="0B2545"/>
          <w:sz w:val="20"/>
        </w:rPr>
        <w:t>Metric change → event or content driver → meaning. Separate reach, depth, intensity, and creator activity. Never substitute discussion volume for a missing official viewing metric.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950"/>
        <w:gridCol w:w="950"/>
        <w:gridCol w:w="850"/>
        <w:gridCol w:w="1900"/>
        <w:gridCol w:w="2960"/>
      </w:tblGrid>
      <w:tr>
        <w:trPr>
          <w:tblHeader w:val="true"/>
          <w:cantSplit w:val="true"/>
        </w:trP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METRIC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CURRENT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PREVIOUS</w:t>
            </w:r>
          </w:p>
        </w:tc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WOW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PRIMARY DRIVER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INTERPRETATION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Reach — Total views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[Broader / narrower reach]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Depth — Watch hours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[Depth of viewing engagement]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Intensity — Popularity / heat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[Viewing / discussion intensity]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Creator activity — UGC volume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[Content supply]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Creator activity — Active creators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 ]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[Breadth of participation]</w:t>
            </w:r>
          </w:p>
        </w:tc>
      </w:tr>
    </w:tbl>
    <w:p>
      <w:pPr>
        <w:spacing w:after="20"/>
      </w:pPr>
    </w:p>
    <w:p>
      <w:pPr>
        <w:pStyle w:val="Heading2"/>
      </w:pPr>
      <w:r>
        <w:t>China Viewership Interpretation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/>
          <w:color w:val="5B6573"/>
          <w:sz w:val="22"/>
        </w:rPr>
        <w:t>[Metric] changed from [previous value] to [current value] ([WoW change]), primarily driven by [event or content]. Because [metric definition], interpret it as [reach / depth / intensity / creator activity]. State the likely impact without claiming unsupported causality.</w:t>
      </w:r>
    </w:p>
    <w:p>
      <w:pPr>
        <w:pStyle w:val="Heading1"/>
      </w:pPr>
      <w:r>
        <w:t>5. METHODOLOGY NOTES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030"/>
        <w:gridCol w:w="1650"/>
        <w:gridCol w:w="3030"/>
      </w:tblGrid>
      <w:tr>
        <w:trPr>
          <w:tblHeader w:val="true"/>
          <w:cantSplit w:val="true"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METHOD FIELD</w:t>
            </w:r>
          </w:p>
        </w:tc>
        <w:tc>
          <w:tcPr>
            <w:tcW w:type="dxa" w:w="30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DISCLOSURE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METHOD FIELD</w:t>
            </w:r>
          </w:p>
        </w:tc>
        <w:tc>
          <w:tcPr>
            <w:tcW w:type="dxa" w:w="30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DISCLOSURE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Reporting scope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China only; no aggregation of other regional reports.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Natural-week rule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[Monday 00:00 through Sunday 23:59; timezone]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Sentiment scale and thresholds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[Fixed system; define Positive, Neutral, Mixed, Negative]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Topic model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[Single-label / multi-label; model and version]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China data sources and coverage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[Platforms, content types, dates, exclusions]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Platform-unit comparability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[Views, comments, posts, popularity, or heat; incompatible units are not summed]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Viewership metric definitions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[Views / watch hours / popularity / heat / UGC / creators]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Methodology changes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[None / change and impact]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Missing data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[None / estimated / excluded]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Causality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[Association / hypothesis / official confirmation]</w:t>
            </w:r>
          </w:p>
        </w:tc>
      </w:tr>
    </w:tbl>
    <w:p>
      <w:pPr>
        <w:spacing w:after="20"/>
      </w:pPr>
    </w:p>
    <w:p>
      <w:pPr>
        <w:pStyle w:val="Heading1"/>
      </w:pPr>
      <w:r>
        <w:t>6. DATA QUALITY CHECK</w:t>
      </w:r>
    </w:p>
    <w:p>
      <w:pPr>
        <w:pStyle w:val="Heading2"/>
      </w:pPr>
      <w:r>
        <w:t>Completion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4160"/>
        <w:gridCol w:w="520"/>
        <w:gridCol w:w="4160"/>
      </w:tblGrid>
      <w:tr>
        <w:trPr>
          <w:tblHeader w:val="true"/>
          <w:cantSplit w:val="true"/>
        </w:trPr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QUALITY GATE</w:t>
            </w:r>
          </w:p>
        </w:tc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QUALITY GATE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Reporting scope is China only.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Reporting period is a complete natural week.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All required sections remain in the fixed order.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Overview follows Positive → Neutral or Mixed → Negative.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Current and previous-week values use the same definition.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Percentage changes are mathematically correct and include their basis.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Sentiment thresholds are consistent or the change is disclosed.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Recurring topics state what changed week over week.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Mixed topics use concession logic.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Incompatible platform units are not summed or directly compared.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Missing official metrics are marked missing rather than inferred.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Unverified causes are labeled as hypotheses.</w:t>
            </w:r>
          </w:p>
        </w:tc>
      </w:tr>
    </w:tbl>
    <w:p>
      <w:pPr>
        <w:spacing w:after="20"/>
      </w:pPr>
    </w:p>
    <w:p>
      <w:pPr>
        <w:pStyle w:val="Heading2"/>
      </w:pPr>
      <w:r>
        <w:t>Data-Quality Warnings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000"/>
        <w:gridCol w:w="2400"/>
        <w:gridCol w:w="3360"/>
      </w:tblGrid>
      <w:tr>
        <w:trPr>
          <w:tblHeader w:val="true"/>
          <w:cantSplit w:val="true"/>
        </w:trPr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WARNING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AFFECTED METRIC / PLATFORM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INTERPRETATION IMPACT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[Warning]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 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 ]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[Warning]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 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 ]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[Warning]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 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 ]</w:t>
            </w:r>
          </w:p>
        </w:tc>
      </w:tr>
    </w:tbl>
    <w:p>
      <w:pPr>
        <w:spacing w:after="20"/>
      </w:pPr>
    </w:p>
    <w:p>
      <w:pPr>
        <w:pStyle w:val="Heading2"/>
      </w:pPr>
      <w:r>
        <w:t>Analyst Notes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i/>
          <w:color w:val="5B6573"/>
          <w:sz w:val="18"/>
        </w:rPr>
        <w:t>[State missing, estimated, sample-limited, changed, or non-comparable inputs and whether the report remains a draft.]</w:t>
      </w:r>
    </w:p>
    <w:p>
      <w:pPr>
        <w:pStyle w:val="Heading2"/>
      </w:pPr>
      <w:r>
        <w:t>Next-Week Watchlist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000"/>
        <w:gridCol w:w="1900"/>
        <w:gridCol w:w="30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METRIC / TOPIC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CURRENT BASELINE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TRIGGER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WHY IT MATTERS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[Sentiment metric]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 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[e.g. ±0.5]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[Decision impact]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[Negative topic share]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 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[e.g. &gt;10%]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[Decision impact]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B6573"/>
        <w:sz w:val="17"/>
      </w:rPr>
      <w:t xml:space="preserve">CHINA WEEKLY REPORT TEMPLATE  •  PAGE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color w:val="5B6573"/>
        <w:sz w:val="17"/>
      </w:rPr>
      <w:t>APAC COMMUNITY SENTIMENT  /  CHINA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 — China Weekly Community Sentiment Report Template</dc:title>
  <dc:subject>China-only weekly community sentiment reporting template</dc:subject>
  <dc:creator>APEX Reporting</dc:creator>
  <cp:keywords>APAC, China, weekly report, community sentiment</cp:keywords>
  <dc:description>Template version 3.0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