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45178" w14:textId="77777777" w:rsidR="00E03D3B" w:rsidRPr="00527450" w:rsidRDefault="00CC088E">
      <w:pPr>
        <w:rPr>
          <w:rFonts w:ascii="Helvetica" w:hAnsi="Helvetica"/>
        </w:rPr>
      </w:pPr>
      <w:r>
        <w:rPr>
          <w:rFonts w:ascii="Helvetica" w:hAnsi="Helvetica"/>
          <w:b/>
        </w:rPr>
        <w:t xml:space="preserve">Supplemental Figure 7. </w:t>
      </w:r>
      <w:r w:rsidR="00527450" w:rsidRPr="00CC088E">
        <w:rPr>
          <w:rFonts w:ascii="Helvetica" w:hAnsi="Helvetica"/>
          <w:b/>
        </w:rPr>
        <w:t>Alchemical free energy calculations show a wide range of protein and ligand conformations are adopted.</w:t>
      </w:r>
      <w:r w:rsidR="00527450" w:rsidRPr="00527450">
        <w:rPr>
          <w:rFonts w:ascii="Helvetica" w:hAnsi="Helvetica"/>
        </w:rPr>
        <w:t xml:space="preserve"> </w:t>
      </w:r>
    </w:p>
    <w:p w14:paraId="443652B1" w14:textId="77777777" w:rsidR="00527450" w:rsidRPr="00527450" w:rsidRDefault="00527450" w:rsidP="00CC088E">
      <w:pPr>
        <w:jc w:val="both"/>
        <w:rPr>
          <w:rFonts w:ascii="Helvetica" w:hAnsi="Helvetica"/>
          <w:b/>
        </w:rPr>
      </w:pPr>
      <w:r w:rsidRPr="00527450">
        <w:rPr>
          <w:rFonts w:ascii="Helvetica" w:hAnsi="Helvetica"/>
          <w:b/>
        </w:rPr>
        <w:t>(A)</w:t>
      </w:r>
      <w:r w:rsidRPr="00527450">
        <w:rPr>
          <w:rFonts w:ascii="Helvetica" w:hAnsi="Helvetica"/>
        </w:rPr>
        <w:t xml:space="preserve"> </w:t>
      </w:r>
      <w:r w:rsidRPr="00527450">
        <w:rPr>
          <w:rFonts w:ascii="Helvetica" w:hAnsi="Helvetica"/>
          <w:color w:val="000000"/>
        </w:rPr>
        <w:t>ΔG</w:t>
      </w:r>
      <w:r>
        <w:rPr>
          <w:rFonts w:ascii="Helvetica" w:hAnsi="Helvetica"/>
          <w:color w:val="000000"/>
          <w:vertAlign w:val="subscript"/>
        </w:rPr>
        <w:t>bind</w:t>
      </w:r>
      <w:r>
        <w:rPr>
          <w:rFonts w:ascii="Helvetica" w:hAnsi="Helvetica"/>
          <w:color w:val="000000"/>
        </w:rPr>
        <w:t xml:space="preserve"> MBAR estimates (</w:t>
      </w:r>
      <w:r>
        <w:rPr>
          <w:rFonts w:ascii="Helvetica" w:hAnsi="Helvetica"/>
          <w:i/>
          <w:color w:val="000000"/>
        </w:rPr>
        <w:t>y-</w:t>
      </w:r>
      <w:r w:rsidRPr="00527450">
        <w:rPr>
          <w:rFonts w:ascii="Helvetica" w:hAnsi="Helvetica"/>
          <w:color w:val="000000"/>
        </w:rPr>
        <w:t>axis</w:t>
      </w:r>
      <w:r>
        <w:rPr>
          <w:rFonts w:ascii="Helvetica" w:hAnsi="Helvetica"/>
          <w:color w:val="000000"/>
        </w:rPr>
        <w:t xml:space="preserve">) </w:t>
      </w:r>
      <w:r w:rsidRPr="00527450">
        <w:rPr>
          <w:rFonts w:ascii="Helvetica" w:hAnsi="Helvetica"/>
          <w:color w:val="000000"/>
        </w:rPr>
        <w:t>for</w:t>
      </w:r>
      <w:r>
        <w:rPr>
          <w:rFonts w:ascii="Helvetica" w:hAnsi="Helvetica"/>
          <w:color w:val="000000"/>
        </w:rPr>
        <w:t xml:space="preserve"> Ro 08-2750 (</w:t>
      </w:r>
      <w:r w:rsidR="00CC088E">
        <w:rPr>
          <w:rFonts w:ascii="Helvetica" w:hAnsi="Helvetica"/>
          <w:i/>
          <w:color w:val="000000"/>
        </w:rPr>
        <w:t>left</w:t>
      </w:r>
      <w:r>
        <w:rPr>
          <w:rFonts w:ascii="Helvetica" w:hAnsi="Helvetica"/>
          <w:color w:val="000000"/>
        </w:rPr>
        <w:t>) RoOH (</w:t>
      </w:r>
      <w:r>
        <w:rPr>
          <w:rFonts w:ascii="Helvetica" w:hAnsi="Helvetica"/>
          <w:i/>
          <w:color w:val="000000"/>
        </w:rPr>
        <w:t>center</w:t>
      </w:r>
      <w:r>
        <w:rPr>
          <w:rFonts w:ascii="Helvetica" w:hAnsi="Helvetica"/>
          <w:color w:val="000000"/>
        </w:rPr>
        <w:t>) and Ro A6 (</w:t>
      </w:r>
      <w:r w:rsidR="00CC088E">
        <w:rPr>
          <w:rFonts w:ascii="Helvetica" w:hAnsi="Helvetica"/>
          <w:i/>
          <w:color w:val="000000"/>
        </w:rPr>
        <w:t>right</w:t>
      </w:r>
      <w:r>
        <w:rPr>
          <w:rFonts w:ascii="Helvetica" w:hAnsi="Helvetica"/>
          <w:color w:val="000000"/>
        </w:rPr>
        <w:t>) at different harmonic restraint cutoffs (</w:t>
      </w:r>
      <w:r>
        <w:rPr>
          <w:rFonts w:ascii="Helvetica" w:hAnsi="Helvetica"/>
          <w:i/>
          <w:color w:val="000000"/>
        </w:rPr>
        <w:t>x-axis</w:t>
      </w:r>
      <w:r>
        <w:rPr>
          <w:rFonts w:ascii="Helvetica" w:hAnsi="Helvetica"/>
          <w:color w:val="000000"/>
        </w:rPr>
        <w:t xml:space="preserve">). </w:t>
      </w:r>
      <w:r w:rsidR="00680985">
        <w:rPr>
          <w:rFonts w:ascii="Helvetica" w:hAnsi="Helvetica"/>
          <w:color w:val="000000"/>
        </w:rPr>
        <w:t xml:space="preserve">The error bars correspond to ± the statistical uncertainty calculated for each cutoff. </w:t>
      </w:r>
      <w:r>
        <w:rPr>
          <w:rFonts w:ascii="Helvetica" w:hAnsi="Helvetica"/>
          <w:color w:val="000000"/>
        </w:rPr>
        <w:t xml:space="preserve">This reweighting step is important to remove the bias introduced by the harmonic restraint. The inset </w:t>
      </w:r>
      <w:r w:rsidRPr="00527450">
        <w:rPr>
          <w:rFonts w:ascii="Helvetica" w:hAnsi="Helvetica"/>
          <w:color w:val="000000"/>
        </w:rPr>
        <w:t>ΔG</w:t>
      </w:r>
      <w:r>
        <w:rPr>
          <w:rFonts w:ascii="Helvetica" w:hAnsi="Helvetica"/>
          <w:color w:val="000000"/>
          <w:vertAlign w:val="subscript"/>
        </w:rPr>
        <w:t>bind</w:t>
      </w:r>
      <w:r>
        <w:rPr>
          <w:rFonts w:ascii="Helvetica" w:hAnsi="Helvetica"/>
          <w:color w:val="000000"/>
        </w:rPr>
        <w:t xml:space="preserve"> was calculated at the 20Å cutoff</w:t>
      </w:r>
      <w:bookmarkStart w:id="0" w:name="_GoBack"/>
      <w:bookmarkEnd w:id="0"/>
      <w:r>
        <w:rPr>
          <w:rFonts w:ascii="Helvetica" w:hAnsi="Helvetica"/>
          <w:color w:val="000000"/>
        </w:rPr>
        <w:t xml:space="preserve">. </w:t>
      </w:r>
      <w:r>
        <w:rPr>
          <w:rFonts w:ascii="Helvetica" w:hAnsi="Helvetica"/>
          <w:b/>
          <w:color w:val="000000"/>
        </w:rPr>
        <w:t xml:space="preserve">(B) </w:t>
      </w:r>
      <w:r>
        <w:rPr>
          <w:rFonts w:ascii="Helvetica" w:hAnsi="Helvetica"/>
          <w:color w:val="000000"/>
        </w:rPr>
        <w:t>A conform</w:t>
      </w:r>
      <w:r w:rsidR="00CC088E">
        <w:rPr>
          <w:rFonts w:ascii="Helvetica" w:hAnsi="Helvetica"/>
          <w:color w:val="000000"/>
        </w:rPr>
        <w:t>ational change is induced when N</w:t>
      </w:r>
      <w:r>
        <w:rPr>
          <w:rFonts w:ascii="Helvetica" w:hAnsi="Helvetica"/>
          <w:color w:val="000000"/>
        </w:rPr>
        <w:t>usashi is in complex (green) with Ro 08-2750 (</w:t>
      </w:r>
      <w:r w:rsidRPr="00527450">
        <w:rPr>
          <w:rFonts w:ascii="Helvetica" w:hAnsi="Helvetica"/>
          <w:i/>
          <w:color w:val="000000"/>
        </w:rPr>
        <w:t>right</w:t>
      </w:r>
      <w:r>
        <w:rPr>
          <w:rFonts w:ascii="Helvetica" w:hAnsi="Helvetica"/>
          <w:color w:val="000000"/>
        </w:rPr>
        <w:t>) or RoOH (</w:t>
      </w:r>
      <w:r>
        <w:rPr>
          <w:rFonts w:ascii="Helvetica" w:hAnsi="Helvetica"/>
          <w:i/>
          <w:color w:val="000000"/>
        </w:rPr>
        <w:t>center</w:t>
      </w:r>
      <w:r w:rsidR="00CC088E">
        <w:rPr>
          <w:rFonts w:ascii="Helvetica" w:hAnsi="Helvetica"/>
          <w:color w:val="000000"/>
        </w:rPr>
        <w:t>), when compared to apo M</w:t>
      </w:r>
      <w:r>
        <w:rPr>
          <w:rFonts w:ascii="Helvetica" w:hAnsi="Helvetica"/>
          <w:color w:val="000000"/>
        </w:rPr>
        <w:t>usashi (gray). Ro A6 (</w:t>
      </w:r>
      <w:r>
        <w:rPr>
          <w:rFonts w:ascii="Helvetica" w:hAnsi="Helvetica"/>
          <w:i/>
          <w:color w:val="000000"/>
        </w:rPr>
        <w:t>left</w:t>
      </w:r>
      <w:r>
        <w:rPr>
          <w:rFonts w:ascii="Helvetica" w:hAnsi="Helvetica"/>
          <w:color w:val="000000"/>
        </w:rPr>
        <w:t xml:space="preserve">) does not induce the same conformational change. </w:t>
      </w:r>
      <w:r>
        <w:rPr>
          <w:rFonts w:ascii="Helvetica" w:hAnsi="Helvetica"/>
          <w:b/>
          <w:color w:val="000000"/>
        </w:rPr>
        <w:t xml:space="preserve">(C) </w:t>
      </w:r>
      <w:r>
        <w:rPr>
          <w:rFonts w:ascii="Helvetica" w:hAnsi="Helvetica"/>
          <w:color w:val="000000"/>
        </w:rPr>
        <w:t>The cluster centers for Ro 08-2750 (</w:t>
      </w:r>
      <w:r w:rsidR="00CC088E">
        <w:rPr>
          <w:rFonts w:ascii="Helvetica" w:hAnsi="Helvetica"/>
          <w:i/>
          <w:color w:val="000000"/>
        </w:rPr>
        <w:t>left</w:t>
      </w:r>
      <w:r>
        <w:rPr>
          <w:rFonts w:ascii="Helvetica" w:hAnsi="Helvetica"/>
          <w:color w:val="000000"/>
        </w:rPr>
        <w:t>) RoOH (</w:t>
      </w:r>
      <w:r>
        <w:rPr>
          <w:rFonts w:ascii="Helvetica" w:hAnsi="Helvetica"/>
          <w:i/>
          <w:color w:val="000000"/>
        </w:rPr>
        <w:t>center</w:t>
      </w:r>
      <w:r>
        <w:rPr>
          <w:rFonts w:ascii="Helvetica" w:hAnsi="Helvetica"/>
          <w:color w:val="000000"/>
        </w:rPr>
        <w:t>) and Ro A6 (</w:t>
      </w:r>
      <w:r w:rsidR="00CC088E">
        <w:rPr>
          <w:rFonts w:ascii="Helvetica" w:hAnsi="Helvetica"/>
          <w:i/>
          <w:color w:val="000000"/>
        </w:rPr>
        <w:t>right</w:t>
      </w:r>
      <w:r>
        <w:rPr>
          <w:rFonts w:ascii="Helvetica" w:hAnsi="Helvetica"/>
          <w:color w:val="000000"/>
        </w:rPr>
        <w:t>), derived using Regular Spatial Clustering with an RMSD cutoff of 1Å. Ro A6</w:t>
      </w:r>
      <w:r w:rsidR="00CC088E">
        <w:rPr>
          <w:rFonts w:ascii="Helvetica" w:hAnsi="Helvetica"/>
          <w:color w:val="000000"/>
        </w:rPr>
        <w:t xml:space="preserve"> (</w:t>
      </w:r>
      <w:r w:rsidR="00CC088E">
        <w:rPr>
          <w:rFonts w:ascii="Helvetica" w:hAnsi="Helvetica"/>
          <w:i/>
          <w:color w:val="000000"/>
        </w:rPr>
        <w:t>right</w:t>
      </w:r>
      <w:r w:rsidR="00CC088E">
        <w:rPr>
          <w:rFonts w:ascii="Helvetica" w:hAnsi="Helvetica"/>
          <w:color w:val="000000"/>
        </w:rPr>
        <w:t>)</w:t>
      </w:r>
      <w:r>
        <w:rPr>
          <w:rFonts w:ascii="Helvetica" w:hAnsi="Helvetica"/>
          <w:color w:val="000000"/>
        </w:rPr>
        <w:t xml:space="preserve"> produced a much larger </w:t>
      </w:r>
      <w:r w:rsidR="00CC088E">
        <w:rPr>
          <w:rFonts w:ascii="Helvetica" w:hAnsi="Helvetica"/>
          <w:color w:val="000000"/>
        </w:rPr>
        <w:t>number of clusters than Ro 08-2750 (</w:t>
      </w:r>
      <w:r w:rsidR="00CC088E">
        <w:rPr>
          <w:rFonts w:ascii="Helvetica" w:hAnsi="Helvetica"/>
          <w:i/>
          <w:color w:val="000000"/>
        </w:rPr>
        <w:t>left</w:t>
      </w:r>
      <w:r w:rsidR="00CC088E">
        <w:rPr>
          <w:rFonts w:ascii="Helvetica" w:hAnsi="Helvetica"/>
          <w:color w:val="000000"/>
        </w:rPr>
        <w:t>) or RoOH (</w:t>
      </w:r>
      <w:r w:rsidR="00CC088E">
        <w:rPr>
          <w:rFonts w:ascii="Helvetica" w:hAnsi="Helvetica"/>
          <w:i/>
          <w:color w:val="000000"/>
        </w:rPr>
        <w:t>center</w:t>
      </w:r>
      <w:r w:rsidR="00CC088E">
        <w:rPr>
          <w:rFonts w:ascii="Helvetica" w:hAnsi="Helvetica"/>
          <w:color w:val="000000"/>
        </w:rPr>
        <w:t xml:space="preserve">) </w:t>
      </w:r>
      <w:r>
        <w:rPr>
          <w:rFonts w:ascii="Helvetica" w:hAnsi="Helvetica"/>
          <w:b/>
          <w:color w:val="000000"/>
        </w:rPr>
        <w:t>(D)</w:t>
      </w:r>
      <w:r>
        <w:rPr>
          <w:rFonts w:ascii="Helvetica" w:hAnsi="Helvetica"/>
          <w:color w:val="000000"/>
        </w:rPr>
        <w:t xml:space="preserve"> The top 3 most</w:t>
      </w:r>
      <w:r w:rsidR="00CC088E">
        <w:rPr>
          <w:rFonts w:ascii="Helvetica" w:hAnsi="Helvetica"/>
          <w:color w:val="000000"/>
        </w:rPr>
        <w:t xml:space="preserve"> populated clusters for Ro 08-2750. The protein structure and solid ligand pose corresponds to the cluster center, while the ligand poses shown transparently are from 10 randomly sampled frames assigned to that cluster. Sidechains within 4Å of any of the ligands are shown in lines.</w:t>
      </w:r>
      <w:r>
        <w:rPr>
          <w:rFonts w:ascii="Helvetica" w:hAnsi="Helvetica"/>
          <w:color w:val="000000"/>
        </w:rPr>
        <w:t xml:space="preserve"> </w:t>
      </w:r>
      <w:r>
        <w:rPr>
          <w:rFonts w:ascii="Helvetica" w:hAnsi="Helvetica"/>
          <w:b/>
          <w:color w:val="000000"/>
        </w:rPr>
        <w:t xml:space="preserve"> (E) </w:t>
      </w:r>
      <w:r w:rsidR="00CC088E">
        <w:rPr>
          <w:rFonts w:ascii="Helvetica" w:hAnsi="Helvetica"/>
          <w:color w:val="000000"/>
        </w:rPr>
        <w:t xml:space="preserve">The top 4 most populated clusters for RoOH. </w:t>
      </w:r>
      <w:r w:rsidR="00CC088E">
        <w:rPr>
          <w:rFonts w:ascii="Helvetica" w:hAnsi="Helvetica"/>
          <w:color w:val="000000"/>
        </w:rPr>
        <w:t>The protein structure and solid ligand pose corresponds to the cluster center, while the ligand poses shown transparently are from 10 randomly sampled frames assigned to that cluster. Sidechains within 4Å of any of the ligands are shown in lines.</w:t>
      </w:r>
    </w:p>
    <w:sectPr w:rsidR="00527450" w:rsidRPr="00527450" w:rsidSect="00E03D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450"/>
    <w:rsid w:val="000D3DF3"/>
    <w:rsid w:val="00527450"/>
    <w:rsid w:val="00680985"/>
    <w:rsid w:val="00CC088E"/>
    <w:rsid w:val="00E03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B6B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1319</Characters>
  <Application>Microsoft Macintosh Word</Application>
  <DocSecurity>0</DocSecurity>
  <Lines>10</Lines>
  <Paragraphs>3</Paragraphs>
  <ScaleCrop>false</ScaleCrop>
  <Company>MSKCC</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Albanese, Steven/GSK Graduate School</dc:creator>
  <cp:keywords/>
  <dc:description/>
  <cp:lastModifiedBy>Albanese, Steven/GSK Graduate School</cp:lastModifiedBy>
  <cp:revision>3</cp:revision>
  <dcterms:created xsi:type="dcterms:W3CDTF">2018-02-19T19:30:00Z</dcterms:created>
  <dcterms:modified xsi:type="dcterms:W3CDTF">2018-02-19T19:45:00Z</dcterms:modified>
</cp:coreProperties>
</file>