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bookmarkStart w:id="0" w:name="_GoBack"/>
      <w:bookmarkEnd w:id="0"/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IPv6 인터페이스 </w:t>
      </w:r>
      <w:proofErr w:type="spellStart"/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식별자</w:t>
      </w:r>
      <w:proofErr w:type="spellEnd"/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IPv6 주소의 마지막 64비트는 IPv6 주소의 64비트 접두사에 고유한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식별자입니다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.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규정하는 방식은 다음과 같습니다.</w:t>
      </w:r>
    </w:p>
    <w:p w:rsidR="00C55F4C" w:rsidRPr="00C55F4C" w:rsidRDefault="00C55F4C" w:rsidP="00C55F4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RFC 2373에서는 접두사 001에서 111까지 사용하는 모든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유니캐스트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주소는 EUI(확장 고유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)-64 주소에서 파생된 64비트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사용해야 한다고 설명합니다. </w:t>
      </w:r>
    </w:p>
    <w:p w:rsidR="00C55F4C" w:rsidRPr="00C55F4C" w:rsidRDefault="00C55F4C" w:rsidP="00C55F4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RFC 3041에서는 익명 수준을 제공하기 위해 시간에 따라 변하며 임의로 생성되는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식별자에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대해 설명합니다. </w:t>
      </w:r>
    </w:p>
    <w:p w:rsidR="00C55F4C" w:rsidRPr="00C55F4C" w:rsidRDefault="00C55F4C" w:rsidP="00C55F4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식별자는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DHCPv6 등을 통해 상태 저장 주소 자동 구성 중에 할당됩니다. DHCPv6 표준은 현재 정의 중입니다. Windows Server 2003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제품군과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Windows XP의 IPv6 프로토콜은 상태 저장 주소 구성 또는 DHCPv6을 지원하지 않습니다. </w:t>
      </w:r>
    </w:p>
    <w:p w:rsidR="00C55F4C" w:rsidRPr="00C55F4C" w:rsidRDefault="00C55F4C" w:rsidP="00C55F4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식별자는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수동으로 구성됩니다. </w:t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EUI-64 주소 기반 인터페이스 </w:t>
      </w:r>
      <w:proofErr w:type="spellStart"/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식별자</w:t>
      </w:r>
      <w:proofErr w:type="spellEnd"/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>64비트 EUI-64 주소는 IEEE(Institute of Electrical and Electronic Engineers)에서 정의합니다. EUI-64 주소는 네트워크 어댑터에 할당되거나 IEEE 802 주소에서 파생됩니다.</w:t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IEEE 802 주소</w:t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네트워크 어댑터의 일반적인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식별자는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IEEE 802 주소라고 하는 48비트 주소를 사용합니다. 이 주소는 제조업체 ID라고도 하는 24비트 회사 ID와 보드 ID라고도 하는 24비트 확장 ID로 구성됩니다. 네트워크 어댑터의 각 제조업체에 고유하게 할당된 회사 ID와 조립 시 각 네트워크 어댑터에 고유하게 할당되는 보드 ID를 조합하여 전역적으로 고유한 48비트 주소를 생성합니다. 이 48비트 주소는 실제 주소, 하드웨어 주소 또는 MAC(미디어 액세스 제어) 주소라고도 합니다.</w:t>
      </w:r>
    </w:p>
    <w:p w:rsidR="00C55F4C" w:rsidRPr="00C55F4C" w:rsidRDefault="00C55F4C" w:rsidP="00C55F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59F867A" wp14:editId="13F6BD21">
            <wp:extent cx="3507740" cy="675640"/>
            <wp:effectExtent l="0" t="0" r="0" b="0"/>
            <wp:docPr id="1" name="13651be5-7fb3-41b8-89f8-03e5033ad5cf" descr="48비트 IEEE 802 주소의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51be5-7fb3-41b8-89f8-03e5033ad5cf" descr="48비트 IEEE 802 주소의 구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>IEEE 802 주소 내에 정의된 비트는 다음과 같습니다.</w:t>
      </w:r>
    </w:p>
    <w:p w:rsidR="00C55F4C" w:rsidRPr="00C55F4C" w:rsidRDefault="00C55F4C" w:rsidP="00C55F4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U/L(유니버설/로컬) </w:t>
      </w:r>
      <w:r w:rsidRPr="00C55F4C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C55F4C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C55F4C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 xml:space="preserve">U/L 비트는 첫째 바이트의 일곱 번째 비트이며 주소를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유니버설하게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관리할지 로컬로 관리할지 여부를 결정하는 데 사용됩니다. U/L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비트를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0으로 설정하면 고유한 회사 ID를 지정하여 IEEE에서 주소를 관리합니다. U/L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비트를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1로 설정하면 주소를 로컬로 관리합니다. 네트워크 관리자는 제조업체 주소를 무시하고 다른 주소를 지정합니다.</w:t>
      </w:r>
    </w:p>
    <w:p w:rsidR="00C55F4C" w:rsidRPr="00C55F4C" w:rsidRDefault="00C55F4C" w:rsidP="00C55F4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I/G(개별/그룹) </w:t>
      </w:r>
      <w:r w:rsidRPr="00C55F4C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C55F4C">
        <w:rPr>
          <w:rFonts w:ascii="굴림" w:eastAsia="굴림" w:hAnsi="굴림" w:cs="굴림" w:hint="eastAsia"/>
          <w:kern w:val="0"/>
          <w:sz w:val="24"/>
          <w:szCs w:val="24"/>
        </w:rPr>
        <w:br/>
        <w:t>I/G 비트는 첫째 바이트의 하위 비트이며 주소가 개별 주소(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유니캐스트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)인지 그룹 주소(멀티캐스트)인지 여부를 결정하는 데 사용됩니다. 0으로 설정하면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유니캐스트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주소가 되고 1로 설정하면 멀티캐스트 주소가 됩니다.</w:t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일반 802.x 네트워크 어댑터 주소의 경우 U/L과 I/G 비트 모두 0으로 설정되며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유니버설하게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관리되는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유니캐스트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MAC 주소에 해당합니다.</w:t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IEEE EUI-64 주소</w:t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IEEE EUI-64 주소는 네트워크 인터페이스 주소를 지정하는 데 사용하는 새로운 표준입니다. 회사 ID의 길이는 여전히 24비트이지만 확장 ID는 40비트로 늘어나 네트워크 어댑터 제조업체를 위해 훨씬 큰 주소 공간이 만들어집니다. EUI-64 주소는 IEEE 802 주소와 같은 방식으로 U/L 및 I/G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비트를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사용합니다.</w:t>
      </w:r>
    </w:p>
    <w:p w:rsidR="00C55F4C" w:rsidRPr="00C55F4C" w:rsidRDefault="00C55F4C" w:rsidP="00C55F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4025FD6" wp14:editId="5A237300">
            <wp:extent cx="4278630" cy="716280"/>
            <wp:effectExtent l="0" t="0" r="7620" b="7620"/>
            <wp:docPr id="2" name="aacd7abc-9dbc-479b-9301-493d5cc26882" descr="EUI-64 주소의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cd7abc-9dbc-479b-9301-493d5cc26882" descr="EUI-64 주소의 구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IEEE 802 주소와 EUI-64 주소 </w:t>
      </w:r>
      <w:proofErr w:type="spellStart"/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매핑</w:t>
      </w:r>
      <w:proofErr w:type="spellEnd"/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>IEEE 802 주소에서 EUI-64 주소를 만들려면 11111111 11111110(0xFFFE)의 16비트를 회사 ID와 확장 ID 사이의 IEEE 802 주소에 삽입합니다. 다음 그림은 IEEE 802 주소를 EUI-64 주소로 변환하는 것을 보여 줍니다.</w:t>
      </w:r>
    </w:p>
    <w:p w:rsidR="00C55F4C" w:rsidRPr="00C55F4C" w:rsidRDefault="00C55F4C" w:rsidP="00C55F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4F12C1E" wp14:editId="03362C6E">
            <wp:extent cx="4537710" cy="2142490"/>
            <wp:effectExtent l="0" t="0" r="0" b="0"/>
            <wp:docPr id="3" name="a655a650-11bd-4b7d-bfe7-ed8d7eb3e48a" descr="IEEE 802 주소에서 EUI-64 주소로 변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55a650-11bd-4b7d-bfe7-ed8d7eb3e48a" descr="IEEE 802 주소에서 EUI-64 주소로 변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EUI-64 주소와 IPv6 인터페이스 </w:t>
      </w:r>
      <w:proofErr w:type="spellStart"/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식별자</w:t>
      </w:r>
      <w:proofErr w:type="spellEnd"/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 </w:t>
      </w:r>
      <w:proofErr w:type="spellStart"/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매핑</w:t>
      </w:r>
      <w:proofErr w:type="spellEnd"/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IPv6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유니캐스트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주소의 64비트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얻으려면 EUI-64 주소의 U/L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비트를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보완합니다. 즉, 1인 경우 0으로 설정하고 0인 경우 1로 설정합니다. 다음 그림은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유니버설하게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관리되는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유니캐스트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EUI-64 주소에 대한 변환을 보여 줍니다.</w:t>
      </w:r>
    </w:p>
    <w:p w:rsidR="00C55F4C" w:rsidRPr="00C55F4C" w:rsidRDefault="00C55F4C" w:rsidP="00C55F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F5563C6" wp14:editId="69E194BE">
            <wp:extent cx="4155440" cy="1453515"/>
            <wp:effectExtent l="0" t="0" r="0" b="0"/>
            <wp:docPr id="4" name="183c5c38-e3d4-4449-ba91-1a513453369e" descr="IPv6 식별자로 변환된 EUI-64 주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c5c38-e3d4-4449-ba91-1a513453369e" descr="IPv6 식별자로 변환된 EUI-64 주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IEEE 802 주소에서 IPv6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얻으려면 먼저 IEEE 802 주소를 EUI-64 주소로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매핑한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다음 U/L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비트를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보완해야 합니다. 다음 그림은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유니버설하게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관리되는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유니캐스트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IEEE 802 주소에 대한 변환 과정을 보여 줍니다.</w:t>
      </w:r>
    </w:p>
    <w:p w:rsidR="00C55F4C" w:rsidRPr="00C55F4C" w:rsidRDefault="00C55F4C" w:rsidP="00C55F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2D1D455" wp14:editId="06CBA49D">
            <wp:extent cx="4565015" cy="2504440"/>
            <wp:effectExtent l="0" t="0" r="6985" b="0"/>
            <wp:docPr id="5" name="b947a30a-487b-46fa-998e-f4302e6e2db2" descr="IPv6 식별자로 변환된 IEEE 802 주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7a30a-487b-46fa-998e-f4302e6e2db2" descr="IPv6 식별자로 변환된 IEEE 802 주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C55F4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IEEE 802 주소 변환 예제</w:t>
      </w:r>
    </w:p>
    <w:p w:rsidR="00C55F4C" w:rsidRPr="00C55F4C" w:rsidRDefault="00C55F4C" w:rsidP="00C55F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호스트 A에는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이더넷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MAC 주소 00-AA-00-3F-2A-1C가 있다고 가정합니다. 먼저 이 주소는 세 번째와 네 번째 바이트 사이에 FF-FE가 삽입되어 EUI-64 형식으로 변환되고 00-AA-00-FF-FE-3F-2A-1C를 생성합니다. 그런 다음 첫째 바이트에서 일곱 번째 비트인 U/L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비트를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보완합니다. 이진 형식의 첫째 바이트는 00000000입니다. 일곱 번째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비트를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보완하면 00000010(0x02)이 됩니다. 최종 주소는 02-AA-00-FF-FE-3F-2A-1C이며 콜론으로 구분된 16진수 표시법으로 변환하면 인터페이스 </w:t>
      </w:r>
      <w:proofErr w:type="spell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식별자는</w:t>
      </w:r>
      <w:proofErr w:type="spell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2AA:FF</w:t>
      </w:r>
      <w:proofErr w:type="gram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:FE3F:2A1C가</w:t>
      </w:r>
      <w:proofErr w:type="gram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 xml:space="preserve"> 됩니다. 결과적으로 MAC 주소가 00-AA-00-3F-2A-1C인 네트워크 어댑터에 해당하는 로컬 링크 주소는 FE80</w:t>
      </w:r>
      <w:proofErr w:type="gramStart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::</w:t>
      </w:r>
      <w:proofErr w:type="gramEnd"/>
      <w:r w:rsidRPr="00C55F4C">
        <w:rPr>
          <w:rFonts w:ascii="굴림" w:eastAsia="굴림" w:hAnsi="굴림" w:cs="굴림" w:hint="eastAsia"/>
          <w:kern w:val="0"/>
          <w:sz w:val="24"/>
          <w:szCs w:val="24"/>
        </w:rPr>
        <w:t>2AA:FF:FE3F:2A1C입니다.</w:t>
      </w:r>
    </w:p>
    <w:p w:rsidR="005B6D25" w:rsidRPr="00C55F4C" w:rsidRDefault="00C55F4C">
      <w:r>
        <w:rPr>
          <w:noProof/>
        </w:rPr>
        <w:lastRenderedPageBreak/>
        <w:drawing>
          <wp:inline distT="0" distB="0" distL="0" distR="0">
            <wp:extent cx="5725160" cy="4291965"/>
            <wp:effectExtent l="0" t="0" r="8890" b="0"/>
            <wp:docPr id="6" name="그림 6" descr="C:\Users\user\Desktop\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D25" w:rsidRPr="00C55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65D8"/>
    <w:multiLevelType w:val="multilevel"/>
    <w:tmpl w:val="C23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51CEB"/>
    <w:multiLevelType w:val="multilevel"/>
    <w:tmpl w:val="10F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C"/>
    <w:rsid w:val="005B6D25"/>
    <w:rsid w:val="00C5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F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5F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F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5F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9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6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2016-04-07T12:33:00Z</dcterms:created>
  <dcterms:modified xsi:type="dcterms:W3CDTF">2016-04-07T12:34:00Z</dcterms:modified>
</cp:coreProperties>
</file>