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Hourly</w:t>
      </w:r>
    </w:p>
    <w:p w:rsidR="00000000" w:rsidDel="00000000" w:rsidP="00000000" w:rsidRDefault="00000000" w:rsidRPr="00000000" w14:paraId="00000001">
      <w:pPr>
        <w:contextualSpacing w:val="0"/>
        <w:rPr>
          <w:b w:val="1"/>
          <w:u w:val="single"/>
        </w:rPr>
      </w:pPr>
      <w:r w:rsidDel="00000000" w:rsidR="00000000" w:rsidRPr="00000000">
        <w:rPr>
          <w:b w:val="1"/>
          <w:u w:val="single"/>
        </w:rPr>
        <w:drawing>
          <wp:inline distB="114300" distT="114300" distL="114300" distR="114300">
            <wp:extent cx="3413531" cy="228123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13531"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b w:val="1"/>
          <w:u w:val="single"/>
        </w:rPr>
        <w:drawing>
          <wp:inline distB="114300" distT="114300" distL="114300" distR="114300">
            <wp:extent cx="3481388" cy="2530017"/>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1388" cy="253001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b w:val="1"/>
          <w:u w:val="single"/>
        </w:rPr>
      </w:pP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b w:val="1"/>
          <w:u w:val="single"/>
          <w:rtl w:val="0"/>
        </w:rPr>
        <w:t xml:space="preserve">Daily</w:t>
      </w:r>
    </w:p>
    <w:p w:rsidR="00000000" w:rsidDel="00000000" w:rsidP="00000000" w:rsidRDefault="00000000" w:rsidRPr="00000000" w14:paraId="00000007">
      <w:pPr>
        <w:contextualSpacing w:val="0"/>
        <w:rPr/>
      </w:pPr>
      <w:r w:rsidDel="00000000" w:rsidR="00000000" w:rsidRPr="00000000">
        <w:rPr>
          <w:rtl w:val="0"/>
        </w:rPr>
        <w:t xml:space="preserve">lol</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10541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11049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43600" cy="1117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943600" cy="1092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STDEV</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Offshore: 0.3050616</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Onshore: 0.244348053</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Solar: 0.152725173</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5943600" cy="15875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b w:val="1"/>
          <w:u w:val="single"/>
          <w:rtl w:val="0"/>
        </w:rPr>
        <w:t xml:space="preserve">Monthly</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3449488" cy="2176463"/>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49488"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4214813" cy="2891065"/>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14813" cy="289106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Total power price: $264,537.00</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NOTES for utilization strategy: </w:t>
      </w:r>
    </w:p>
    <w:p w:rsidR="00000000" w:rsidDel="00000000" w:rsidP="00000000" w:rsidRDefault="00000000" w:rsidRPr="00000000" w14:paraId="00000021">
      <w:pPr>
        <w:contextualSpacing w:val="0"/>
        <w:rPr/>
      </w:pPr>
      <w:r w:rsidDel="00000000" w:rsidR="00000000" w:rsidRPr="00000000">
        <w:rPr>
          <w:rtl w:val="0"/>
        </w:rPr>
        <w:t xml:space="preserve">Use demand response (or demand-side management) to shift flexible loads to a time when more renewable energy is available, and away from times when renewable generation is low. This requires that loads be capable of receiving and responding to price or control signals from the local utility or grid operator.</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