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b/>
          <w:color w:val="EA6B28"/>
          <w:sz w:val="18"/>
        </w:rPr>
        <w:t>017670 · 유무선통신  |  2026. 7. 17</w:t>
      </w:r>
    </w:p>
    <w:p>
      <w:pPr>
        <w:pStyle w:val="Title"/>
      </w:pPr>
      <w:r>
        <w:t>SK텔레콤 2Q26 Earnings Review</w:t>
      </w:r>
    </w:p>
    <w:p>
      <w:pPr>
        <w:pStyle w:val="Subtitle"/>
      </w:pPr>
      <w:r>
        <w:rPr>
          <w:rFonts w:ascii="맑은 고딕" w:hAnsi="맑은 고딕" w:eastAsia="맑은 고딕"/>
          <w:color w:val="687066"/>
          <w:sz w:val="34"/>
        </w:rPr>
        <w:t>호실적과 업종 내 AIDC 확장의 결합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232"/>
            <w:vAlign w:val="center"/>
            <w:shd w:fill="F5F8F1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color w:val="687066"/>
                <w:sz w:val="18"/>
              </w:rPr>
              <w:t>투자의견</w:t>
            </w:r>
          </w:p>
        </w:tc>
        <w:tc>
          <w:tcPr>
            <w:tcW w:type="dxa" w:w="2232"/>
            <w:vAlign w:val="center"/>
            <w:shd w:fill="F5F8F1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color w:val="687066"/>
                <w:sz w:val="18"/>
              </w:rPr>
              <w:t>목표주가</w:t>
            </w:r>
          </w:p>
        </w:tc>
        <w:tc>
          <w:tcPr>
            <w:tcW w:type="dxa" w:w="2232"/>
            <w:vAlign w:val="center"/>
            <w:shd w:fill="F5F8F1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color w:val="687066"/>
                <w:sz w:val="18"/>
              </w:rPr>
              <w:t>현재주가</w:t>
            </w:r>
          </w:p>
        </w:tc>
        <w:tc>
          <w:tcPr>
            <w:tcW w:type="dxa" w:w="2232"/>
            <w:vAlign w:val="center"/>
            <w:shd w:fill="F5F8F1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color w:val="687066"/>
                <w:sz w:val="18"/>
              </w:rPr>
              <w:t>상승여력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6B8E23"/>
                <w:sz w:val="28"/>
              </w:rPr>
              <w:t>매수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151814"/>
                <w:sz w:val="28"/>
              </w:rPr>
              <w:t>120,000원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151814"/>
                <w:sz w:val="28"/>
              </w:rPr>
              <w:t>83,900원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6B8E23"/>
                <w:sz w:val="28"/>
              </w:rPr>
              <w:t>43.0%</w:t>
            </w:r>
          </w:p>
        </w:tc>
      </w:tr>
    </w:tbl>
    <w:p>
      <w:pPr>
        <w:pStyle w:val="Heading1"/>
      </w:pPr>
      <w:r>
        <w:t>Investment Summary</w:t>
      </w:r>
    </w:p>
    <w:p>
      <w:r>
        <w:rPr>
          <w:b w:val="0"/>
        </w:rPr>
        <w:t xml:space="preserve">2분기 실적 상회와 AIDC 사업의 가시성 개선을 함께 반영해 </w:t>
      </w:r>
      <w:r>
        <w:rPr>
          <w:b/>
          <w:color w:val="6B8E23"/>
        </w:rPr>
        <w:t>투자의견 매수, 목표주가 120,000원</w:t>
      </w:r>
      <w:r>
        <w:t>을 유지합니다. 현재 주가 대비 상승여력은 43.0%입니다.</w:t>
      </w:r>
    </w:p>
    <w:p>
      <w:pPr>
        <w:pStyle w:val="Heading2"/>
      </w:pPr>
      <w:r>
        <w:t>핵심 투자 포인트</w:t>
      </w:r>
    </w:p>
    <w:p>
      <w:pPr>
        <w:pStyle w:val="ListNumber"/>
        <w:spacing w:after="140"/>
      </w:pPr>
      <w:r>
        <w:rPr>
          <w:b/>
          <w:color w:val="151814"/>
        </w:rPr>
        <w:t xml:space="preserve">본업 이익 체력 회복  </w:t>
      </w:r>
      <w:r>
        <w:t>무선 서비스의 비용 효율화와 유선 가입자 증가를 바탕으로 2026년 영업이익은 1조 9,350억원까지 정상화될 전망입니다.</w:t>
      </w:r>
    </w:p>
    <w:p>
      <w:pPr>
        <w:pStyle w:val="ListNumber"/>
        <w:spacing w:after="140"/>
      </w:pPr>
      <w:r>
        <w:rPr>
          <w:b/>
          <w:color w:val="151814"/>
        </w:rPr>
        <w:t xml:space="preserve">AIDC 가치 재평가  </w:t>
      </w:r>
      <w:r>
        <w:t>현재 137MW인 데이터센터 수전용량은 2027년 187MW로 확대되고, 울산 AIDC 가동과 추가 부지 확보가 중장기 성장 경로를 구체화합니다.</w:t>
      </w:r>
    </w:p>
    <w:p>
      <w:pPr>
        <w:pStyle w:val="ListNumber"/>
        <w:spacing w:after="140"/>
      </w:pPr>
      <w:r>
        <w:rPr>
          <w:b/>
          <w:color w:val="151814"/>
        </w:rPr>
        <w:t xml:space="preserve">주주환원 가시성  </w:t>
      </w:r>
      <w:r>
        <w:t>2026년 예상 DPS 3,660원과 배당수익률 4.4%는 대규모 AI 투자 구간에서도 하방 경직성을 제공합니다.</w:t>
      </w:r>
    </w:p>
    <w:p>
      <w:pPr>
        <w:pStyle w:val="Heading1"/>
      </w:pPr>
      <w:r>
        <w:t>실적 전망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2041"/>
            <w:shd w:fill="151814"/>
            <w:tcBorders>
              <w:top w:val="single" w:sz="4" w:color="151814"/>
              <w:left w:val="single" w:sz="4" w:color="151814"/>
              <w:bottom w:val="single" w:sz="4" w:color="151814"/>
              <w:right w:val="single" w:sz="4" w:color="151814"/>
              <w:insideH w:val="single" w:sz="4" w:color="151814"/>
              <w:insideV w:val="single" w:sz="4" w:color="151814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276"/>
            <w:shd w:fill="151814"/>
            <w:tcBorders>
              <w:top w:val="single" w:sz="4" w:color="151814"/>
              <w:left w:val="single" w:sz="4" w:color="151814"/>
              <w:bottom w:val="single" w:sz="4" w:color="151814"/>
              <w:right w:val="single" w:sz="4" w:color="151814"/>
              <w:insideH w:val="single" w:sz="4" w:color="151814"/>
              <w:insideV w:val="single" w:sz="4" w:color="151814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276"/>
            <w:shd w:fill="151814"/>
            <w:tcBorders>
              <w:top w:val="single" w:sz="4" w:color="151814"/>
              <w:left w:val="single" w:sz="4" w:color="151814"/>
              <w:bottom w:val="single" w:sz="4" w:color="151814"/>
              <w:right w:val="single" w:sz="4" w:color="151814"/>
              <w:insideH w:val="single" w:sz="4" w:color="151814"/>
              <w:insideV w:val="single" w:sz="4" w:color="151814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276"/>
            <w:shd w:fill="151814"/>
            <w:tcBorders>
              <w:top w:val="single" w:sz="4" w:color="151814"/>
              <w:left w:val="single" w:sz="4" w:color="151814"/>
              <w:bottom w:val="single" w:sz="4" w:color="151814"/>
              <w:right w:val="single" w:sz="4" w:color="151814"/>
              <w:insideH w:val="single" w:sz="4" w:color="151814"/>
              <w:insideV w:val="single" w:sz="4" w:color="151814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2026F</w:t>
            </w:r>
          </w:p>
        </w:tc>
        <w:tc>
          <w:tcPr>
            <w:tcW w:type="dxa" w:w="1276"/>
            <w:shd w:fill="151814"/>
            <w:tcBorders>
              <w:top w:val="single" w:sz="4" w:color="151814"/>
              <w:left w:val="single" w:sz="4" w:color="151814"/>
              <w:bottom w:val="single" w:sz="4" w:color="151814"/>
              <w:right w:val="single" w:sz="4" w:color="151814"/>
              <w:insideH w:val="single" w:sz="4" w:color="151814"/>
              <w:insideV w:val="single" w:sz="4" w:color="151814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2027F</w:t>
            </w:r>
          </w:p>
        </w:tc>
        <w:tc>
          <w:tcPr>
            <w:tcW w:type="dxa" w:w="1276"/>
            <w:shd w:fill="151814"/>
            <w:tcBorders>
              <w:top w:val="single" w:sz="4" w:color="151814"/>
              <w:left w:val="single" w:sz="4" w:color="151814"/>
              <w:bottom w:val="single" w:sz="4" w:color="151814"/>
              <w:right w:val="single" w:sz="4" w:color="151814"/>
              <w:insideH w:val="single" w:sz="4" w:color="151814"/>
              <w:insideV w:val="single" w:sz="4" w:color="151814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2028F</w:t>
            </w:r>
          </w:p>
        </w:tc>
      </w:tr>
      <w:tr>
        <w:tc>
          <w:tcPr>
            <w:tcW w:type="dxa" w:w="2041"/>
            <w:shd w:fill="F5F8F1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매출액 (십억원)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17,941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17,099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/>
                <w:color w:val="6B8E23"/>
                <w:sz w:val="18"/>
              </w:rPr>
              <w:t>17,941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18,337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18,712</w:t>
            </w:r>
          </w:p>
        </w:tc>
      </w:tr>
      <w:tr>
        <w:tc>
          <w:tcPr>
            <w:tcW w:type="dxa" w:w="2041"/>
            <w:shd w:fill="F5F8F1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영업이익 (십억원)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1,823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1,073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/>
                <w:color w:val="6B8E23"/>
                <w:sz w:val="18"/>
              </w:rPr>
              <w:t>1,935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2,153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2,435</w:t>
            </w:r>
          </w:p>
        </w:tc>
      </w:tr>
      <w:tr>
        <w:tc>
          <w:tcPr>
            <w:tcW w:type="dxa" w:w="2041"/>
            <w:shd w:fill="F5F8F1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EPS (원)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5,810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1,901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/>
                <w:color w:val="6B8E23"/>
                <w:sz w:val="18"/>
              </w:rPr>
              <w:t>6,347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7,205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8,424</w:t>
            </w:r>
          </w:p>
        </w:tc>
      </w:tr>
      <w:tr>
        <w:tc>
          <w:tcPr>
            <w:tcW w:type="dxa" w:w="2041"/>
            <w:shd w:fill="F5F8F1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P/E (배)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9.5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28.1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/>
                <w:color w:val="6B8E23"/>
                <w:sz w:val="18"/>
              </w:rPr>
              <w:t>13.2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11.6</w:t>
            </w:r>
          </w:p>
        </w:tc>
        <w:tc>
          <w:tcPr>
            <w:tcW w:type="dxa" w:w="1276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10.0</w:t>
            </w:r>
          </w:p>
        </w:tc>
      </w:tr>
    </w:tbl>
    <w:p>
      <w:pPr>
        <w:pStyle w:val="Heading1"/>
      </w:pPr>
      <w:r>
        <w:t>AIDC 전망</w:t>
      </w:r>
    </w:p>
    <w:p>
      <w:r>
        <w:t>2027년부터 수전용량과 가동률 상승이 실적에 반영될 전망입니다. 2035년 15GW 확장 계획은 중장기 성장의 선택지를 넓히지만, 준공 일정과 전력 조달비는 지속적으로 확인해야 합니다.</w:t>
      </w:r>
    </w:p>
    <w:p>
      <w:pPr>
        <w:pStyle w:val="Heading1"/>
      </w:pPr>
      <w:r>
        <w:t>밸류에이션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5F8F1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b w:val="0"/>
                <w:color w:val="151814"/>
                <w:sz w:val="18"/>
              </w:rPr>
              <w:t>Forward EPS</w:t>
            </w:r>
          </w:p>
        </w:tc>
        <w:tc>
          <w:tcPr>
            <w:tcW w:type="dxa" w:w="3293"/>
            <w:shd w:fill="F5F8F1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b w:val="0"/>
                <w:color w:val="151814"/>
                <w:sz w:val="18"/>
              </w:rPr>
              <w:t>Target PER</w:t>
            </w:r>
          </w:p>
        </w:tc>
        <w:tc>
          <w:tcPr>
            <w:tcW w:type="dxa" w:w="3293"/>
            <w:shd w:fill="F5F8F1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b w:val="0"/>
                <w:color w:val="6B8E23"/>
                <w:sz w:val="18"/>
              </w:rPr>
              <w:t>계산 목표주가</w:t>
            </w:r>
          </w:p>
        </w:tc>
      </w:tr>
      <w:tr>
        <w:tc>
          <w:tcPr>
            <w:tcW w:type="dxa" w:w="3293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51814"/>
                <w:sz w:val="30"/>
              </w:rPr>
              <w:t>12,430원</w:t>
            </w:r>
          </w:p>
        </w:tc>
        <w:tc>
          <w:tcPr>
            <w:tcW w:type="dxa" w:w="3293"/>
            <w:shd w:fill="FFFFFF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51814"/>
                <w:sz w:val="30"/>
              </w:rPr>
              <w:t>14.2배</w:t>
            </w:r>
          </w:p>
        </w:tc>
        <w:tc>
          <w:tcPr>
            <w:tcW w:type="dxa" w:w="3293"/>
            <w:shd w:fill="EFF5E7"/>
            <w:tcBorders>
              <w:top w:val="single" w:sz="4" w:color="DDE4D8"/>
              <w:left w:val="single" w:sz="4" w:color="DDE4D8"/>
              <w:bottom w:val="single" w:sz="4" w:color="DDE4D8"/>
              <w:right w:val="single" w:sz="4" w:color="DDE4D8"/>
              <w:insideH w:val="single" w:sz="4" w:color="DDE4D8"/>
              <w:insideV w:val="single" w:sz="4" w:color="DDE4D8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B8E23"/>
                <w:sz w:val="30"/>
              </w:rPr>
              <w:t>176,506원</w:t>
            </w:r>
          </w:p>
        </w:tc>
      </w:tr>
    </w:tbl>
    <w:p>
      <w:pPr>
        <w:pStyle w:val="Heading1"/>
      </w:pPr>
      <w:r>
        <w:t>주요 리스크</w:t>
      </w:r>
    </w:p>
    <w:p>
      <w:pPr>
        <w:pStyle w:val="ListBullet"/>
      </w:pPr>
      <w:r>
        <w:rPr>
          <w:b/>
        </w:rPr>
        <w:t xml:space="preserve">AIDC 투자 집행과 가동 지연: </w:t>
      </w:r>
      <w:r>
        <w:t>전력 인입, 인허가, 고객 유치가 계획보다 늦어질 경우 초기 투자비 부담이 먼저 반영될 수 있습니다.</w:t>
      </w:r>
    </w:p>
    <w:p>
      <w:pPr>
        <w:pStyle w:val="ListBullet"/>
      </w:pPr>
      <w:r>
        <w:rPr>
          <w:b/>
        </w:rPr>
        <w:t xml:space="preserve">무선 가입자 성장 둔화: </w:t>
      </w:r>
      <w:r>
        <w:t>5G 보급률이 성숙기에 진입하면서 가입자 순증과 ARPU 개선 속도가 예상보다 낮을 수 있습니다.</w:t>
      </w:r>
    </w:p>
    <w:p>
      <w:pPr>
        <w:pStyle w:val="ListBullet"/>
      </w:pPr>
      <w:r>
        <w:rPr>
          <w:b/>
        </w:rPr>
        <w:t xml:space="preserve">주주환원 여력 축소: </w:t>
      </w:r>
      <w:r>
        <w:t>대규모 데이터센터 투자와 차입금 증가는 배당 정상화 속도를 제한할 가능성이 있습니다.</w:t>
      </w:r>
    </w:p>
    <w:p>
      <w:pPr>
        <w:spacing w:before="280"/>
      </w:pPr>
      <w:r>
        <w:rPr>
          <w:color w:val="687066"/>
          <w:sz w:val="16"/>
        </w:rPr>
        <w:t>자료: 회사 공시, 기업 IR, REFLO Research Workspace. 본 문서는 예시 리서치 산출물입니다.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066"/>
        <w:sz w:val="16"/>
      </w:rPr>
      <w:t>REFLO Research Workspace  ·  SK텔레콤 2Q26 Earnings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6B8E23"/>
        <w:sz w:val="18"/>
      </w:rPr>
      <w:t>REFLO  |  EQUITY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맑은 고딕" w:hAnsi="맑은 고딕" w:eastAsia="맑은 고딕"/>
      <w:color w:val="1518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5181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6B8E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5181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