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24"/>
        </w:rPr>
        <w:t>Supplementary Note S1. Sensitivity analysis of the priority-defense corridor formulation</w:t>
      </w:r>
    </w:p>
    <w:p>
      <w:r>
        <w:rPr>
          <w:b/>
        </w:rPr>
        <w:t xml:space="preserve">Purpose. </w:t>
      </w:r>
      <w:r>
        <w:t>This note summarizes a compact robustness check for the composite corridor-priority formulation used in the manuscript. The objective was to determine whether the main RP100 priority-defense corridor pattern is strongly dependent on a narrow set of score weights or whether the principal high-priority segments remain stable under plausible alternative parameterizations.</w:t>
      </w:r>
    </w:p>
    <w:p>
      <w:r>
        <w:rPr>
          <w:b/>
        </w:rPr>
        <w:t xml:space="preserve">Sensitivity design. </w:t>
      </w:r>
      <w:r>
        <w:t>The baseline corridor score in the manuscript combines three normalized components: weighted delay, choice loss, and integration loss. Using the RP100 corridor dataset, alternative score compositions were recalculated from the stored normalized components under five weight schemes: equal weighting (1/3, 1/3, 1/3), delay-emphasis (0.50, 0.25, 0.25), structure-emphasis (0.25, 0.375, 0.375), choice-emphasis (0.30, 0.50, 0.20), and integration-emphasis (0.30, 0.20, 0.50). For each scheme, two diagnostics were examined: (1) Spearman rank correlation with the manuscript baseline score and (2) overlap in the top 1% of RP100 segments. A simple penalty-scaling proxy was also examined by changing the relative influence of the normalized weighted-delay component (lambda = 0.8, 1.0, 1.2) while holding the two structural components fixed.</w:t>
      </w:r>
    </w:p>
    <w:p>
      <w:r>
        <w:rPr>
          <w:b/>
        </w:rPr>
        <w:t xml:space="preserve">Results. </w:t>
      </w:r>
      <w:r>
        <w:t>The RP100 dataset contains 188,457 segments, yielding a top-1% comparison set of 1,885 segments. Across all alternative weight schemes, the rank correlation with the manuscript baseline score remained effectively identical (Spearman rho = 1.00 to four decimal places), indicating that the global ordering of corridor importance is highly stable. Top-1% overlap with the baseline high-priority set remained high across all tested schemes: 93.2% under equal weighting, 96.8% under delay-emphasis, 91.7% under structure-emphasis, 96.2% under choice-emphasis, and 88.7% under integration-emphasis. Under the penalty-scaling proxy, overlap remained between 92.4% and 94.3% across lambda values of 0.8-1.2.</w:t>
      </w:r>
    </w:p>
    <w:p>
      <w:r>
        <w:rPr>
          <w:b/>
        </w:rPr>
        <w:t xml:space="preserve">Interpretation. </w:t>
      </w:r>
      <w:r>
        <w:t>These results suggest that the dominant RP100 priority-defense corridor pattern is not an artifact of one arbitrary coefficient choice. The absolute ordering of some marginal segments changes under alternative emphasis settings, as expected, but the principal high-priority cluster remains substantively stable. This supports the manuscript’s interpretation that the corridor output identifies a strategically meaningful subset of the network rather than a fragile ranking generated by a single score composition. The sensitivity pattern is especially encouraging because the strongest variation was observed under the integration-emphasis setting, which still retained 88.7% of the baseline top-1% corridor set.</w:t>
      </w:r>
    </w:p>
    <w:p>
      <w:r>
        <w:rPr>
          <w:b/>
        </w:rPr>
        <w:t xml:space="preserve">Scope. </w:t>
      </w:r>
      <w:r>
        <w:t>This note should be read as a robustness check for score composition, not as a substitute for full hydraulic, dispatch, or behaviorally adaptive simulation. It supports the narrower claim made in the manuscript: namely, that the hybrid corridor-prioritization framework is strategically interpretable and reasonably stable under moderate changes in weighting assumptions.</w:t>
      </w:r>
    </w:p>
    <w:p>
      <w:r>
        <w:rPr>
          <w:b/>
        </w:rPr>
        <w:t>Summary values.</w:t>
      </w:r>
    </w:p>
    <w:p>
      <w:pPr>
        <w:pStyle w:val="ListBullet"/>
      </w:pPr>
      <w:r>
        <w:t>RP100 segments analyzed: 188,457</w:t>
      </w:r>
    </w:p>
    <w:p>
      <w:pPr>
        <w:pStyle w:val="ListBullet"/>
      </w:pPr>
      <w:r>
        <w:t>Top-1% comparison set: 1,885 segments</w:t>
      </w:r>
    </w:p>
    <w:p>
      <w:pPr>
        <w:pStyle w:val="ListBullet"/>
      </w:pPr>
      <w:r>
        <w:t>Top-1% overlap under alternative weight sets: 88.7%-96.8%</w:t>
      </w:r>
    </w:p>
    <w:p>
      <w:pPr>
        <w:pStyle w:val="ListBullet"/>
      </w:pPr>
      <w:r>
        <w:t>Top-1% overlap under delay-penalty proxy: 92.4%-94.3%</w:t>
      </w:r>
    </w:p>
    <w:p>
      <w:pPr>
        <w:pStyle w:val="ListBullet"/>
      </w:pPr>
      <w:r>
        <w:t>Spearman rank correlation versus manuscript baseline: 1.00 across tested variants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