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64" w:lineRule="auto"/>
      </w:pPr>
      <w:r>
        <w:rPr>
          <w:rFonts w:ascii="Calibri" w:hAnsi="Calibri" w:eastAsia="Malgun Gothic"/>
          <w:b/>
          <w:color w:val="2E74B5"/>
          <w:sz w:val="20"/>
        </w:rPr>
        <w:t>TECHNICAL DECISION MEMO</w:t>
      </w:r>
    </w:p>
    <w:p>
      <w:pPr>
        <w:spacing w:before="0" w:after="100" w:line="264" w:lineRule="auto"/>
      </w:pPr>
      <w:r>
        <w:rPr>
          <w:rFonts w:ascii="Calibri" w:hAnsi="Calibri" w:eastAsia="Malgun Gothic"/>
          <w:b/>
          <w:color w:val="0B2545"/>
          <w:sz w:val="46"/>
        </w:rPr>
        <w:t>P1 가치성 사전심사 및</w:t>
        <w:br/>
        <w:t>환경강건 저충실도 검증</w:t>
      </w:r>
    </w:p>
    <w:p>
      <w:pPr>
        <w:spacing w:before="0" w:after="280" w:line="264" w:lineRule="auto"/>
      </w:pPr>
      <w:r>
        <w:rPr>
          <w:rFonts w:ascii="Calibri" w:hAnsi="Calibri" w:eastAsia="Malgun Gothic"/>
          <w:color w:val="666666"/>
          <w:sz w:val="25"/>
        </w:rPr>
        <w:t>가치 없는 실험을 계산 전에 또는 수 분 안에 중단하는 단계형 승격 체계</w:t>
      </w:r>
    </w:p>
    <w:p>
      <w:pPr>
        <w:spacing w:before="0" w:after="40" w:line="264" w:lineRule="auto"/>
      </w:pPr>
      <w:r>
        <w:rPr>
          <w:rFonts w:ascii="Calibri" w:hAnsi="Calibri" w:eastAsia="Malgun Gothic"/>
          <w:b/>
          <w:color w:val="0B2545"/>
          <w:sz w:val="22"/>
        </w:rPr>
        <w:t xml:space="preserve">일자: </w:t>
      </w:r>
      <w:r>
        <w:rPr>
          <w:rFonts w:ascii="Calibri" w:hAnsi="Calibri" w:eastAsia="Malgun Gothic"/>
          <w:color w:val="0B2545"/>
          <w:sz w:val="22"/>
        </w:rPr>
        <w:t>2026-08-29</w:t>
      </w:r>
    </w:p>
    <w:p>
      <w:pPr>
        <w:spacing w:before="0" w:after="40" w:line="264" w:lineRule="auto"/>
      </w:pPr>
      <w:r>
        <w:rPr>
          <w:rFonts w:ascii="Calibri" w:hAnsi="Calibri" w:eastAsia="Malgun Gothic"/>
          <w:b/>
          <w:color w:val="0B2545"/>
          <w:sz w:val="22"/>
        </w:rPr>
        <w:t xml:space="preserve">범위: </w:t>
      </w:r>
      <w:r>
        <w:rPr>
          <w:rFonts w:ascii="Calibri" w:hAnsi="Calibri" w:eastAsia="Malgun Gothic"/>
          <w:color w:val="0B2545"/>
          <w:sz w:val="22"/>
        </w:rPr>
        <w:t>P1 retrospective local shadow only</w:t>
      </w:r>
    </w:p>
    <w:p>
      <w:pPr>
        <w:spacing w:before="0" w:after="40" w:line="264" w:lineRule="auto"/>
      </w:pPr>
      <w:r>
        <w:rPr>
          <w:rFonts w:ascii="Calibri" w:hAnsi="Calibri" w:eastAsia="Malgun Gothic"/>
          <w:b/>
          <w:color w:val="0B2545"/>
          <w:sz w:val="22"/>
        </w:rPr>
        <w:t xml:space="preserve">판정: </w:t>
      </w:r>
      <w:r>
        <w:rPr>
          <w:rFonts w:ascii="Calibri" w:hAnsi="Calibri" w:eastAsia="Malgun Gothic"/>
          <w:color w:val="0B2545"/>
          <w:sz w:val="22"/>
        </w:rPr>
        <w:t>STOP_BEFORE_FULL_FIDELITY</w:t>
      </w:r>
    </w:p>
    <w:p>
      <w:pPr>
        <w:spacing w:before="0" w:after="40" w:line="264" w:lineRule="auto"/>
      </w:pPr>
      <w:r>
        <w:rPr>
          <w:rFonts w:ascii="Calibri" w:hAnsi="Calibri" w:eastAsia="Malgun Gothic"/>
          <w:b/>
          <w:color w:val="0B2545"/>
          <w:sz w:val="22"/>
        </w:rPr>
        <w:t xml:space="preserve">운영 경계: </w:t>
      </w:r>
      <w:r>
        <w:rPr>
          <w:rFonts w:ascii="Calibri" w:hAnsi="Calibri" w:eastAsia="Malgun Gothic"/>
          <w:color w:val="0B2545"/>
          <w:sz w:val="22"/>
        </w:rPr>
        <w:t>official test 0 · submission 0 · upload 0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algun Gothic"/>
                <w:b/>
                <w:color w:val="0B2545"/>
                <w:sz w:val="24"/>
              </w:rPr>
              <w:t>결론</w:t>
              <w:br/>
            </w:r>
            <w:r>
              <w:rPr>
                <w:rFonts w:ascii="Calibri" w:hAnsi="Calibri" w:eastAsia="Malgun Gothic"/>
                <w:color w:val="0B2545"/>
                <w:sz w:val="21"/>
              </w:rPr>
              <w:t>정적 가치성 심사와 10-epoch 저충실도 gate를 운영 기준으로 채택한다. 이번 환경균형 replay는 pooled가 +0.000043이었지만 Q3가 하락하고 추가 23행이 모두 오탐이어서 본학습 전에 중단한다.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rPr>
          <w:rFonts w:ascii="Calibri" w:hAnsi="Calibri" w:eastAsia="Malgun Gothic"/>
          <w:b/>
          <w:color w:val="2E74B5"/>
          <w:sz w:val="32"/>
        </w:rPr>
        <w:t>1. 이번에 달라진 운영 방식</w:t>
      </w:r>
    </w:p>
    <w:p>
      <w:pPr>
        <w:spacing w:before="0" w:after="120" w:line="264" w:lineRule="auto"/>
      </w:pPr>
      <w:r>
        <w:rPr>
          <w:rFonts w:ascii="Calibri" w:hAnsi="Calibri" w:eastAsia="Malgun Gothic"/>
          <w:color w:val="000000"/>
          <w:sz w:val="22"/>
        </w:rPr>
        <w:t>가치 없는 실험을 완전히 예측할 수는 없다. 대신 계산 비용과 증거 강도를 분리해, 싼 단계에서 실패한 후보가 비싼 단계로 넘어가지 못하게 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정적 preflight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10-epoch rung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30-epoch rung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3-seed full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F3A5F"/>
                <w:sz w:val="20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9B1C1C"/>
                <w:sz w:val="20"/>
              </w:rPr>
              <w:t>STOP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666666"/>
                <w:sz w:val="20"/>
              </w:rPr>
              <w:t>미실행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666666"/>
                <w:sz w:val="20"/>
              </w:rPr>
              <w:t>미실행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algun Gothic"/>
          <w:b/>
          <w:color w:val="2E74B5"/>
          <w:sz w:val="32"/>
        </w:rPr>
        <w:t>2. 정적 가치성 preflight</w:t>
      </w:r>
    </w:p>
    <w:p>
      <w:pPr>
        <w:spacing w:before="0" w:after="120" w:line="264" w:lineRule="auto"/>
      </w:pPr>
      <w:r>
        <w:rPr>
          <w:rFonts w:ascii="Calibri" w:hAnsi="Calibri" w:eastAsia="Malgun Gothic"/>
          <w:color w:val="000000"/>
          <w:sz w:val="22"/>
        </w:rPr>
        <w:t>다음 항목은 GPU를 쓰기 전에 자동 검사한다.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algun Gothic"/>
          <w:color w:val="000000"/>
          <w:sz w:val="22"/>
        </w:rPr>
        <w:t>공식 목적과 같은 binary row F1, 확인 시기 2개 이상, G/I/S station slice를 요구한다.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algun Gothic"/>
          <w:color w:val="000000"/>
          <w:sz w:val="22"/>
        </w:rPr>
        <w:t>저충실도 단계·명시적 중단 조건·근거 문헌·반증 근거를 요구한다.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algun Gothic"/>
          <w:color w:val="000000"/>
          <w:sz w:val="22"/>
        </w:rPr>
        <w:t>공식 test label, sample/submission, CSV 생성·업로드를 계약에서 금지한다.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algun Gothic"/>
          <w:color w:val="000000"/>
          <w:sz w:val="22"/>
        </w:rPr>
        <w:t>12개 닫힌 실험 축과 intervention layer·mechanism 태그가 중복되면 자동 탈락한다.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algun Gothic"/>
                <w:b/>
                <w:color w:val="0B2545"/>
                <w:sz w:val="24"/>
              </w:rPr>
              <w:t>정적 판정</w:t>
              <w:br/>
            </w:r>
            <w:r>
              <w:rPr>
                <w:rFonts w:ascii="Calibri" w:hAnsi="Calibri" w:eastAsia="Malgun Gothic"/>
                <w:color w:val="0B2545"/>
                <w:sz w:val="21"/>
              </w:rPr>
              <w:t>10/10 · PASS_TO_LOW_FIDELITY · 단, Q3/Q4는 retrospective window이므로 fresh claim은 금지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rPr>
          <w:rFonts w:ascii="Calibri" w:hAnsi="Calibri" w:eastAsia="Malgun Gothic"/>
          <w:b/>
          <w:color w:val="2E74B5"/>
          <w:sz w:val="32"/>
        </w:rPr>
        <w:t>3. 실제 저충실도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600"/>
        <w:gridCol w:w="1600"/>
        <w:gridCol w:w="1560"/>
        <w:gridCol w:w="1700"/>
        <w:gridCol w:w="170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b/>
                <w:color w:val="0B2545"/>
                <w:sz w:val="19"/>
              </w:rPr>
              <w:t>구간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b/>
                <w:color w:val="0B2545"/>
                <w:sz w:val="19"/>
              </w:rPr>
              <w:t>baseline F1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b/>
                <w:color w:val="0B2545"/>
                <w:sz w:val="19"/>
              </w:rPr>
              <w:t>candidate F1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b/>
                <w:color w:val="0B2545"/>
                <w:sz w:val="19"/>
              </w:rPr>
              <w:t>delta F1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b/>
                <w:color w:val="0B2545"/>
                <w:sz w:val="19"/>
              </w:rPr>
              <w:t>추가 행 / true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b/>
                <w:color w:val="0B2545"/>
                <w:sz w:val="19"/>
              </w:rPr>
              <w:t>제거 행 / true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Q3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0.9067084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0.9058969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algun Gothic"/>
                <w:b/>
                <w:color w:val="9B1C1C"/>
                <w:sz w:val="19"/>
              </w:rPr>
              <w:t>-0.0008115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4 / 0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13 / 9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Q4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0.8872198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0.8884909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algun Gothic"/>
                <w:b/>
                <w:color w:val="1F3A5F"/>
                <w:sz w:val="19"/>
              </w:rPr>
              <w:t>+0.0012711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19 / 0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31 / 0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pooled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0.8987428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0.8987854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algun Gothic"/>
                <w:b/>
                <w:color w:val="1F3A5F"/>
                <w:sz w:val="19"/>
              </w:rPr>
              <w:t>+0.0000426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23 / 0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44 / 9</w:t>
            </w:r>
          </w:p>
        </w:tc>
      </w:tr>
    </w:tbl>
    <w:p>
      <w:pPr>
        <w:spacing w:before="80" w:after="80" w:line="264" w:lineRule="auto"/>
      </w:pPr>
      <w:r>
        <w:rPr>
          <w:rFonts w:ascii="Calibri" w:hAnsi="Calibri" w:eastAsia="Malgun Gothic"/>
          <w:b/>
          <w:color w:val="666666"/>
          <w:sz w:val="18"/>
        </w:rPr>
        <w:t xml:space="preserve">표 근거: </w:t>
      </w:r>
      <w:r>
        <w:rPr>
          <w:rFonts w:ascii="Calibri" w:hAnsi="Calibri" w:eastAsia="Malgun Gothic"/>
          <w:color w:val="666666"/>
          <w:sz w:val="18"/>
        </w:rPr>
        <w:t>artifacts/p1_environment_balanced_replay_screen_20260829_v1/run/result.json</w:t>
      </w:r>
    </w:p>
    <w:p>
      <w:pPr>
        <w:spacing w:before="0" w:after="120" w:line="264" w:lineRule="auto"/>
      </w:pPr>
      <w:r>
        <w:rPr>
          <w:rFonts w:ascii="Calibri" w:hAnsi="Calibri" w:eastAsia="Malgun Gothic"/>
          <w:color w:val="000000"/>
          <w:sz w:val="22"/>
        </w:rPr>
        <w:t>pooled 미세 양수만 보면 승격처럼 보이지만, Q3에서는 제거한 13행 중 9행이 실제 양성이었고 Q4에서는 제거한 31행이 모두 오탐이었다. 같은 조정이 시기별로 반대 역할을 했으므로 안정적인 환경강건 신호가 아니다.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DECEC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algun Gothic"/>
                <w:b/>
                <w:color w:val="9B1C1C"/>
                <w:sz w:val="24"/>
              </w:rPr>
              <w:t>기계 판정</w:t>
              <w:br/>
            </w:r>
            <w:r>
              <w:rPr>
                <w:rFonts w:ascii="Calibri" w:hAnsi="Calibri" w:eastAsia="Malgun Gothic"/>
                <w:color w:val="0B2545"/>
                <w:sz w:val="21"/>
              </w:rPr>
              <w:t>STOP_BEFORE_FULL_FIDELITY — full GroupDRO, 3-seed 장기학습, 공식 제출 후보 생성을 실행하지 않는다.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rPr>
          <w:rFonts w:ascii="Calibri" w:hAnsi="Calibri" w:eastAsia="Malgun Gothic"/>
          <w:b/>
          <w:color w:val="2E74B5"/>
          <w:sz w:val="32"/>
        </w:rPr>
        <w:t>4. 새 승격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700"/>
        <w:gridCol w:w="3660"/>
        <w:gridCol w:w="3300"/>
      </w:tblGrid>
      <w:tr>
        <w:trPr>
          <w:tblHeader w:val="true"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b/>
                <w:color w:val="0B2545"/>
                <w:sz w:val="19"/>
              </w:rPr>
              <w:t>단계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b/>
                <w:color w:val="0B2545"/>
                <w:sz w:val="19"/>
              </w:rPr>
              <w:t>비용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b/>
                <w:color w:val="0B2545"/>
                <w:sz w:val="19"/>
              </w:rPr>
              <w:t>통과 조건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b/>
                <w:color w:val="0B2545"/>
                <w:sz w:val="19"/>
              </w:rPr>
              <w:t>실패 시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0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초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계약·신규성 10개 검사 전부 통과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폐기 또는 계약 보정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1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수 분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Q3·Q4·pooled 모두 양수 + 집중도 통과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즉시 STOP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수십 분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30 epoch에서도 방향 유지 + 추가 precision &gt; 0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full 금지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3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시간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3-seed 평균·worst slice·pooled 비열화 없음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공식 후보 금지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4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희소 기회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근거와 정보가치 충분 + 사용자 승인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algun Gothic"/>
                <w:color w:val="000000"/>
                <w:sz w:val="18"/>
              </w:rPr>
              <w:t>괴리 원장만 갱신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Malgun Gothic"/>
          <w:color w:val="000000"/>
          <w:sz w:val="22"/>
        </w:rPr>
        <w:t>소수점 개선 자체를 무시하지는 않는다. 작은 개선일수록 시기 일관성, 추가 행 precision, station 집중도, seed 안정성을 함께 요구한다. 로컬 F1과 공식 점수는 단위가 다르므로 직접 환산하지 않는다.</w:t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2E74B5"/>
          <w:sz w:val="32"/>
        </w:rPr>
        <w:t>5. 문헌 근거와 반증</w:t>
      </w:r>
    </w:p>
    <w:p>
      <w:pPr>
        <w:spacing w:before="0" w:after="120" w:line="264" w:lineRule="auto"/>
      </w:pPr>
      <w:r>
        <w:rPr>
          <w:rFonts w:ascii="Calibri" w:hAnsi="Calibri" w:eastAsia="Malgun Gothic"/>
          <w:color w:val="000000"/>
          <w:sz w:val="22"/>
        </w:rPr>
        <w:t>GroupDRO는 사전에 정의된 그룹의 최악 성능을 낮추려는 목적을 가진다. 환경 정의가 타당하다는 근거이지 이번 proxy의 성공을 보장하지는 않는다.</w:t>
      </w:r>
    </w:p>
    <w:p>
      <w:pPr>
        <w:spacing w:before="0" w:after="120" w:line="264" w:lineRule="auto"/>
      </w:pPr>
      <w:r>
        <w:rPr>
          <w:rFonts w:ascii="Calibri" w:hAnsi="Calibri" w:eastAsia="Malgun Gothic"/>
          <w:color w:val="000000"/>
          <w:sz w:val="22"/>
        </w:rPr>
        <w:t>Hyperband와 multi-fidelity 최적화는 적은 epoch·데이터 같은 싼 평가로 약한 후보를 조기 중단하고 자원을 유망 후보에 집중한다. 이번 10→30→full 구조의 직접적 근거다.</w:t>
      </w:r>
    </w:p>
    <w:p>
      <w:pPr>
        <w:spacing w:before="0" w:after="120" w:line="264" w:lineRule="auto"/>
      </w:pPr>
      <w:r>
        <w:rPr>
          <w:rFonts w:ascii="Calibri" w:hAnsi="Calibri" w:eastAsia="Malgun Gothic"/>
          <w:color w:val="000000"/>
          <w:sz w:val="22"/>
        </w:rPr>
        <w:t>반대로 IRM은 가정이나 환경 구조가 맞지 않으면 ERM을 이기지 못할 수 있다. 불변성이라는 이름만으로 후보를 승격하지 않는 이유다.</w:t>
      </w:r>
    </w:p>
    <w:p>
      <w:pPr>
        <w:spacing w:before="0" w:after="120" w:line="264" w:lineRule="auto"/>
      </w:pPr>
      <w:r>
        <w:rPr>
          <w:rFonts w:ascii="Calibri" w:hAnsi="Calibri" w:eastAsia="Malgun Gothic"/>
          <w:color w:val="000000"/>
          <w:sz w:val="22"/>
        </w:rPr>
        <w:t>RAINCOAT의 time-frequency alignment는 다른 구조적 축이지만, P1에서는 target covariate·transductive 허용성과 leakage 경계를 먼저 잠가야 한다.</w:t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2E74B5"/>
          <w:sz w:val="32"/>
        </w:rPr>
        <w:t>6. 한계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algun Gothic"/>
          <w:color w:val="000000"/>
          <w:sz w:val="22"/>
        </w:rPr>
        <w:t>Q3/Q4는 이미 노출된 retrospective window이므로 fresh generalization 주장이 아니다.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algun Gothic"/>
          <w:color w:val="000000"/>
          <w:sz w:val="22"/>
        </w:rPr>
        <w:t>10 epoch와 full ranking의 상관이 낮으면 late bloomer를 거짓 탈락시킬 수 있다.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algun Gothic"/>
          <w:color w:val="000000"/>
          <w:sz w:val="22"/>
        </w:rPr>
        <w:t>station별 추가 행 집계는 schema 전환 전에 실행되어 unavailable이며, 낙관적으로 보간하지 않고 fail-closed 처리했다.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algun Gothic"/>
          <w:color w:val="000000"/>
          <w:sz w:val="22"/>
        </w:rPr>
        <w:t>단일 seed는 분산을 추정하지 못하며, 이번 실험은 full GroupDRO가 아니라 균형 replay proxy다.</w:t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2E74B5"/>
          <w:sz w:val="32"/>
        </w:rPr>
        <w:t>7. 다음 행동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algun Gothic"/>
          <w:color w:val="000000"/>
          <w:sz w:val="22"/>
        </w:rPr>
        <w:t>환경균형 replay family는 닫고 registry에 유지한다.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algun Gothic"/>
          <w:color w:val="000000"/>
          <w:sz w:val="22"/>
        </w:rPr>
        <w:t>다음 가설은 time-frequency target representation alignment 또는 명시적 worst-environment loss 중 하나로 한정한다.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algun Gothic"/>
          <w:color w:val="000000"/>
          <w:sz w:val="22"/>
        </w:rPr>
        <w:t>새 가설은 정적 preflight와 10→30 epoch 두 rung을 통과한 경우에만 3-seed full로 승격한다.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algun Gothic"/>
          <w:color w:val="000000"/>
          <w:sz w:val="22"/>
        </w:rPr>
        <w:t>공식 probe는 로컬 증거와 정보가치가 충분하고 사용자가 정확한 파일을 승인한 경우에만 수행한다.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algun Gothic"/>
                <w:b/>
                <w:color w:val="0B2545"/>
                <w:sz w:val="24"/>
              </w:rPr>
              <w:t>이번 사이클에서 승격된 것</w:t>
              <w:br/>
            </w:r>
            <w:r>
              <w:rPr>
                <w:rFonts w:ascii="Calibri" w:hAnsi="Calibri" w:eastAsia="Malgun Gothic"/>
                <w:color w:val="0B2545"/>
                <w:sz w:val="21"/>
              </w:rPr>
              <w:t>새 모델이 아니라 저가치 실험을 빠르게 중단하는 운영 장치다.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</w:pPr>
      <w:r>
        <w:rPr>
          <w:rFonts w:ascii="Calibri" w:hAnsi="Calibri" w:eastAsia="Malgun Gothic"/>
          <w:b/>
          <w:color w:val="2E74B5"/>
          <w:sz w:val="32"/>
        </w:rPr>
        <w:t>8. 출처</w:t>
      </w:r>
    </w:p>
    <w:p>
      <w:pPr>
        <w:spacing w:before="0" w:after="80" w:line="264" w:lineRule="auto"/>
      </w:pPr>
      <w:r>
        <w:rPr>
          <w:rFonts w:ascii="Calibri" w:hAnsi="Calibri" w:eastAsia="Malgun Gothic"/>
          <w:b/>
          <w:color w:val="0B2545"/>
          <w:sz w:val="19"/>
        </w:rPr>
        <w:t xml:space="preserve">1. Awasthi et al. — Group DRO — </w:t>
      </w:r>
      <w:hyperlink r:id="rId11">
        <w:r>
          <w:rPr>
            <w:color w:val="2E74B5"/>
            <w:u w:val="single"/>
          </w:rPr>
          <w:t>https://proceedings.mlr.press/v237/awasthi24a.html</w:t>
        </w:r>
      </w:hyperlink>
    </w:p>
    <w:p>
      <w:pPr>
        <w:spacing w:before="0" w:after="80" w:line="264" w:lineRule="auto"/>
      </w:pPr>
      <w:r>
        <w:rPr>
          <w:rFonts w:ascii="Calibri" w:hAnsi="Calibri" w:eastAsia="Malgun Gothic"/>
          <w:b/>
          <w:color w:val="0B2545"/>
          <w:sz w:val="19"/>
        </w:rPr>
        <w:t xml:space="preserve">2. Li et al. — Hyperband — </w:t>
      </w:r>
      <w:hyperlink r:id="rId12">
        <w:r>
          <w:rPr>
            <w:color w:val="2E74B5"/>
            <w:u w:val="single"/>
          </w:rPr>
          <w:t>https://www.jmlr.org/papers/v18/16-558.html</w:t>
        </w:r>
      </w:hyperlink>
    </w:p>
    <w:p>
      <w:pPr>
        <w:spacing w:before="0" w:after="80" w:line="264" w:lineRule="auto"/>
      </w:pPr>
      <w:r>
        <w:rPr>
          <w:rFonts w:ascii="Calibri" w:hAnsi="Calibri" w:eastAsia="Malgun Gothic"/>
          <w:b/>
          <w:color w:val="0B2545"/>
          <w:sz w:val="19"/>
        </w:rPr>
        <w:t xml:space="preserve">3. Wu et al. — Multi-fidelity BO — </w:t>
      </w:r>
      <w:hyperlink r:id="rId13">
        <w:r>
          <w:rPr>
            <w:color w:val="2E74B5"/>
            <w:u w:val="single"/>
          </w:rPr>
          <w:t>https://proceedings.mlr.press/v115/wu20a.html</w:t>
        </w:r>
      </w:hyperlink>
    </w:p>
    <w:p>
      <w:pPr>
        <w:spacing w:before="0" w:after="80" w:line="264" w:lineRule="auto"/>
      </w:pPr>
      <w:r>
        <w:rPr>
          <w:rFonts w:ascii="Calibri" w:hAnsi="Calibri" w:eastAsia="Malgun Gothic"/>
          <w:b/>
          <w:color w:val="0B2545"/>
          <w:sz w:val="19"/>
        </w:rPr>
        <w:t xml:space="preserve">4. He et al. — RAINCOAT — </w:t>
      </w:r>
      <w:hyperlink r:id="rId14">
        <w:r>
          <w:rPr>
            <w:color w:val="2E74B5"/>
            <w:u w:val="single"/>
          </w:rPr>
          <w:t>https://proceedings.mlr.press/v202/he23b.html</w:t>
        </w:r>
      </w:hyperlink>
    </w:p>
    <w:p>
      <w:pPr>
        <w:spacing w:before="0" w:after="80" w:line="264" w:lineRule="auto"/>
      </w:pPr>
      <w:r>
        <w:rPr>
          <w:rFonts w:ascii="Calibri" w:hAnsi="Calibri" w:eastAsia="Malgun Gothic"/>
          <w:b/>
          <w:color w:val="0B2545"/>
          <w:sz w:val="19"/>
        </w:rPr>
        <w:t xml:space="preserve">5. Rosenfeld et al. — IRM counterevidence — </w:t>
      </w:r>
      <w:hyperlink r:id="rId15">
        <w:r>
          <w:rPr>
            <w:color w:val="2E74B5"/>
            <w:u w:val="single"/>
          </w:rPr>
          <w:t>https://arxiv.org/abs/2010.05761</w:t>
        </w:r>
      </w:hyperlink>
    </w:p>
    <w:p>
      <w:pPr>
        <w:pStyle w:val="Heading1"/>
        <w:keepNext/>
      </w:pPr>
      <w:r>
        <w:rPr>
          <w:rFonts w:ascii="Calibri" w:hAnsi="Calibri" w:eastAsia="Malgun Gothic"/>
          <w:b/>
          <w:color w:val="2E74B5"/>
          <w:sz w:val="32"/>
        </w:rPr>
        <w:t>9. 재현 파일</w:t>
      </w:r>
    </w:p>
    <w:p>
      <w:pPr>
        <w:spacing w:before="0" w:after="0" w:line="240" w:lineRule="auto"/>
      </w:pPr>
      <w:r>
        <w:rPr>
          <w:rFonts w:ascii="Calibri" w:hAnsi="Calibri" w:eastAsia="Malgun Gothic"/>
          <w:color w:val="666666"/>
          <w:sz w:val="17"/>
        </w:rPr>
        <w:t>configs/experiments/p1_environment_balanced_replay_screen_20260829_v1.json</w:t>
        <w:br/>
      </w:r>
      <w:r>
        <w:rPr>
          <w:rFonts w:ascii="Calibri" w:hAnsi="Calibri" w:eastAsia="Malgun Gothic"/>
          <w:color w:val="666666"/>
          <w:sz w:val="17"/>
        </w:rPr>
        <w:t>configs/experiments/p1_experiment_value_registry_20260829_v1.json</w:t>
        <w:br/>
      </w:r>
      <w:r>
        <w:rPr>
          <w:rFonts w:ascii="Calibri" w:hAnsi="Calibri" w:eastAsia="Malgun Gothic"/>
          <w:color w:val="666666"/>
          <w:sz w:val="17"/>
        </w:rPr>
        <w:t>artifacts/p1_environment_balanced_replay_screen_20260829_v1/preflight.json</w:t>
        <w:br/>
      </w:r>
      <w:r>
        <w:rPr>
          <w:rFonts w:ascii="Calibri" w:hAnsi="Calibri" w:eastAsia="Malgun Gothic"/>
          <w:color w:val="666666"/>
          <w:sz w:val="17"/>
        </w:rPr>
        <w:t>artifacts/p1_environment_balanced_replay_screen_20260829_v1/run/result.json</w:t>
        <w:br/>
      </w:r>
      <w:r>
        <w:rPr>
          <w:rFonts w:ascii="Calibri" w:hAnsi="Calibri" w:eastAsia="Malgun Gothic"/>
          <w:color w:val="666666"/>
          <w:sz w:val="17"/>
        </w:rPr>
        <w:t>artifacts/p1_environment_balanced_replay_screen_20260829_v1/postrun_gate.json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 w:eastAsia="Malgun Gothic"/>
        <w:b/>
        <w:color w:val="666666"/>
        <w:sz w:val="18"/>
      </w:rPr>
      <w:t>P1 연구 운영 보고서  |  가치성 사전심사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oceedings.mlr.press/v237/awasthi24a.html" TargetMode="External"/><Relationship Id="rId12" Type="http://schemas.openxmlformats.org/officeDocument/2006/relationships/hyperlink" Target="https://www.jmlr.org/papers/v18/16-558.html" TargetMode="External"/><Relationship Id="rId13" Type="http://schemas.openxmlformats.org/officeDocument/2006/relationships/hyperlink" Target="https://proceedings.mlr.press/v115/wu20a.html" TargetMode="External"/><Relationship Id="rId14" Type="http://schemas.openxmlformats.org/officeDocument/2006/relationships/hyperlink" Target="https://proceedings.mlr.press/v202/he23b.html" TargetMode="External"/><Relationship Id="rId15" Type="http://schemas.openxmlformats.org/officeDocument/2006/relationships/hyperlink" Target="https://arxiv.org/abs/2010.057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 가치성 사전심사 및 환경강건 저충실도 검증</dc:title>
  <dc:subject>P1 experiment value preflight and low-fidelity gate</dc:subject>
  <dc:creator>분당독고다이</dc:creator>
  <cp:keywords>P1, preflight, multi-fidelity, GroupDRO, experiment gate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