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eastAsia="Malgun Gothic"/>
          <w:b/>
          <w:color w:val="2E74B5"/>
          <w:sz w:val="19"/>
        </w:rPr>
        <w:t>TECHNICAL DECISION BRIEF</w:t>
      </w:r>
    </w:p>
    <w:p>
      <w:pPr>
        <w:spacing w:after="80"/>
      </w:pPr>
      <w:r>
        <w:rPr>
          <w:rFonts w:ascii="Calibri" w:hAnsi="Calibri" w:eastAsia="Malgun Gothic"/>
          <w:b/>
          <w:color w:val="000000"/>
          <w:sz w:val="46"/>
        </w:rPr>
        <w:t>P1·P2·P3 새 돌파구 딥리서치 v5</w:t>
      </w:r>
    </w:p>
    <w:p>
      <w:pPr>
        <w:spacing w:after="280"/>
      </w:pPr>
      <w:r>
        <w:rPr>
          <w:rFonts w:ascii="Calibri" w:hAnsi="Calibri" w:eastAsia="Malgun Gothic"/>
          <w:color w:val="5F6B7A"/>
          <w:sz w:val="25"/>
        </w:rPr>
        <w:t>과거 실패 계열 제외, 1차 출처 검증, 구조 후보 3개, 다음 실행 사전등록</w:t>
      </w:r>
    </w:p>
    <w:p>
      <w:pPr>
        <w:spacing w:after="40"/>
      </w:pPr>
      <w:r>
        <w:rPr>
          <w:rFonts w:ascii="Calibri" w:hAnsi="Calibri" w:eastAsia="Malgun Gothic"/>
          <w:b/>
          <w:color w:val="000000"/>
          <w:sz w:val="21"/>
        </w:rPr>
        <w:t xml:space="preserve">팀: </w:t>
      </w:r>
      <w:r>
        <w:rPr>
          <w:rFonts w:ascii="Calibri" w:hAnsi="Calibri" w:eastAsia="Malgun Gothic"/>
          <w:color w:val="000000"/>
          <w:sz w:val="21"/>
        </w:rPr>
        <w:t>분당독고다이</w:t>
      </w:r>
    </w:p>
    <w:p>
      <w:pPr>
        <w:spacing w:after="40"/>
      </w:pPr>
      <w:r>
        <w:rPr>
          <w:rFonts w:ascii="Calibri" w:hAnsi="Calibri" w:eastAsia="Malgun Gothic"/>
          <w:b/>
          <w:color w:val="000000"/>
          <w:sz w:val="21"/>
        </w:rPr>
        <w:t xml:space="preserve">작성일: </w:t>
      </w:r>
      <w:r>
        <w:rPr>
          <w:rFonts w:ascii="Calibri" w:hAnsi="Calibri" w:eastAsia="Malgun Gothic"/>
          <w:color w:val="000000"/>
          <w:sz w:val="21"/>
        </w:rPr>
        <w:t>2026-08-28 KST</w:t>
      </w:r>
    </w:p>
    <w:p>
      <w:pPr>
        <w:spacing w:after="40"/>
      </w:pPr>
      <w:r>
        <w:rPr>
          <w:rFonts w:ascii="Calibri" w:hAnsi="Calibri" w:eastAsia="Malgun Gothic"/>
          <w:b/>
          <w:color w:val="000000"/>
          <w:sz w:val="21"/>
        </w:rPr>
        <w:t xml:space="preserve">문서 성격: </w:t>
      </w:r>
      <w:r>
        <w:rPr>
          <w:rFonts w:ascii="Calibri" w:hAnsi="Calibri" w:eastAsia="Malgun Gothic"/>
          <w:color w:val="000000"/>
          <w:sz w:val="21"/>
        </w:rPr>
        <w:t>내부 연구 의사결정 및 실행 전 사전등록</w:t>
      </w:r>
    </w:p>
    <w:p>
      <w:pPr>
        <w:spacing w:after="40"/>
      </w:pPr>
      <w:r>
        <w:rPr>
          <w:rFonts w:ascii="Calibri" w:hAnsi="Calibri" w:eastAsia="Malgun Gothic"/>
          <w:b/>
          <w:color w:val="000000"/>
          <w:sz w:val="21"/>
        </w:rPr>
        <w:t xml:space="preserve">안전 경계: </w:t>
      </w:r>
      <w:r>
        <w:rPr>
          <w:rFonts w:ascii="Calibri" w:hAnsi="Calibri" w:eastAsia="Malgun Gothic"/>
          <w:color w:val="000000"/>
          <w:sz w:val="21"/>
        </w:rPr>
        <w:t>공식 test/sample/submission 접근·신규 CSV·업로드 모두 0회</w:t>
      </w:r>
    </w:p>
    <w:p>
      <w:pPr>
        <w:spacing w:before="140" w:after="180"/>
        <w:pBdr>
          <w:bottom w:val="single" w:sz="10" w:space="1" w:color="2E74B5"/>
        </w:pBdr>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4EA"/>
            <w:tcMar>
              <w:top w:w="80" w:type="dxa"/>
              <w:bottom w:w="80" w:type="dxa"/>
              <w:start w:w="120" w:type="dxa"/>
              <w:end w:w="120" w:type="dxa"/>
            </w:tcMar>
          </w:tcPr>
          <w:p>
            <w:pPr>
              <w:spacing w:before="40" w:after="40" w:line="259" w:lineRule="auto"/>
            </w:pPr>
            <w:r>
              <w:rPr>
                <w:rFonts w:ascii="Calibri" w:hAnsi="Calibri" w:eastAsia="Malgun Gothic"/>
                <w:b/>
                <w:color w:val="1F4D78"/>
                <w:sz w:val="21"/>
              </w:rPr>
              <w:t xml:space="preserve">결론  </w:t>
            </w:r>
            <w:r>
              <w:rPr>
                <w:rFonts w:ascii="Calibri" w:hAnsi="Calibri" w:eastAsia="Malgun Gothic"/>
                <w:color w:val="172B4D"/>
                <w:sz w:val="20"/>
              </w:rPr>
              <w:t>새 구조 1순위는 P2 BayOTIDE형 동적 저차원 상태공간, 2순위는 P1 TS2Vec형 normal-prototype proposal generator, 3순위는 P3 TimeXer형 past-exogenous direct 6-lead다. 별도로 P2 OAS α=.40은 이미 QA된 공식 probe이므로 새 구조 연구와 분리해 판단한다.</w:t>
            </w:r>
          </w:p>
        </w:tc>
      </w:tr>
    </w:tbl>
    <w:p>
      <w:pPr>
        <w:spacing w:after="80"/>
      </w:pPr>
    </w:p>
    <w:tbl>
      <w:tblPr>
        <w:tblStyle w:val="TableGrid"/>
        <w:tblW w:type="dxa" w:w="9360"/>
        <w:jc w:val="left"/>
        <w:tblLayout w:type="fixed"/>
        <w:tblLook w:firstColumn="1" w:firstRow="1" w:lastColumn="0" w:lastRow="0" w:noHBand="0" w:noVBand="1" w:val="04A0"/>
        <w:tblInd w:w="120" w:type="dxa"/>
      </w:tblPr>
      <w:tblGrid>
        <w:gridCol w:w="720"/>
        <w:gridCol w:w="720"/>
        <w:gridCol w:w="2440"/>
        <w:gridCol w:w="3780"/>
        <w:gridCol w:w="1700"/>
      </w:tblGrid>
      <w:tr>
        <w:trPr>
          <w:tblHeader w:val="true"/>
        </w:trPr>
        <w:tc>
          <w:tcPr>
            <w:tcW w:type="dxa" w:w="72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우선</w:t>
            </w:r>
          </w:p>
        </w:tc>
        <w:tc>
          <w:tcPr>
            <w:tcW w:type="dxa" w:w="72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문제</w:t>
            </w:r>
          </w:p>
        </w:tc>
        <w:tc>
          <w:tcPr>
            <w:tcW w:type="dxa" w:w="244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구조</w:t>
            </w:r>
          </w:p>
        </w:tc>
        <w:tc>
          <w:tcPr>
            <w:tcW w:type="dxa" w:w="378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직접 겨냥한 병목</w:t>
            </w:r>
          </w:p>
        </w:tc>
        <w:tc>
          <w:tcPr>
            <w:tcW w:type="dxa" w:w="170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상태</w:t>
            </w:r>
          </w:p>
        </w:tc>
      </w:tr>
      <w:tr>
        <w:tc>
          <w:tcPr>
            <w:tcW w:type="dxa" w:w="72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1</w:t>
            </w:r>
          </w:p>
        </w:tc>
        <w:tc>
          <w:tcPr>
            <w:tcW w:type="dxa" w:w="72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P2</w:t>
            </w:r>
          </w:p>
        </w:tc>
        <w:tc>
          <w:tcPr>
            <w:tcW w:type="dxa" w:w="244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BayOTIDE형 dynamic SSM</w:t>
            </w:r>
          </w:p>
        </w:tc>
        <w:tc>
          <w:tcPr>
            <w:tcW w:type="dxa" w:w="378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정적 profile·점별 보정의 시간동역학 부족</w:t>
            </w:r>
          </w:p>
        </w:tc>
        <w:tc>
          <w:tcPr>
            <w:tcW w:type="dxa" w:w="170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사전등록</w:t>
            </w:r>
          </w:p>
        </w:tc>
      </w:tr>
      <w:tr>
        <w:tc>
          <w:tcPr>
            <w:tcW w:type="dxa" w:w="72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2</w:t>
            </w:r>
          </w:p>
        </w:tc>
        <w:tc>
          <w:tcPr>
            <w:tcW w:type="dxa" w:w="72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P1</w:t>
            </w:r>
          </w:p>
        </w:tc>
        <w:tc>
          <w:tcPr>
            <w:tcW w:type="dxa" w:w="244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TS2Vec normal prototype</w:t>
            </w:r>
          </w:p>
        </w:tc>
        <w:tc>
          <w:tcPr>
            <w:tcW w:type="dxa" w:w="378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양성 event support 부족·proposal bank 고정</w:t>
            </w:r>
          </w:p>
        </w:tc>
        <w:tc>
          <w:tcPr>
            <w:tcW w:type="dxa" w:w="170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사전등록</w:t>
            </w:r>
          </w:p>
        </w:tc>
      </w:tr>
      <w:tr>
        <w:tc>
          <w:tcPr>
            <w:tcW w:type="dxa" w:w="72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3</w:t>
            </w:r>
          </w:p>
        </w:tc>
        <w:tc>
          <w:tcPr>
            <w:tcW w:type="dxa" w:w="72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P3</w:t>
            </w:r>
          </w:p>
        </w:tc>
        <w:tc>
          <w:tcPr>
            <w:tcW w:type="dxa" w:w="244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TimeXer direct 6-lead</w:t>
            </w:r>
          </w:p>
        </w:tc>
        <w:tc>
          <w:tcPr>
            <w:tcW w:type="dxa" w:w="378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expert OOF support 1/3·router coverage 부족</w:t>
            </w:r>
          </w:p>
        </w:tc>
        <w:tc>
          <w:tcPr>
            <w:tcW w:type="dxa" w:w="170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사전등록</w:t>
            </w:r>
          </w:p>
        </w:tc>
      </w:tr>
      <w:tr>
        <w:tc>
          <w:tcPr>
            <w:tcW w:type="dxa" w:w="72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별도</w:t>
            </w:r>
          </w:p>
        </w:tc>
        <w:tc>
          <w:tcPr>
            <w:tcW w:type="dxa" w:w="72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P2</w:t>
            </w:r>
          </w:p>
        </w:tc>
        <w:tc>
          <w:tcPr>
            <w:tcW w:type="dxa" w:w="244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Seasonal OAS α=.40</w:t>
            </w:r>
          </w:p>
        </w:tc>
        <w:tc>
          <w:tcPr>
            <w:tcW w:type="dxa" w:w="378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공식 α=.10→.20 상승 축의 정보가치</w:t>
            </w:r>
          </w:p>
        </w:tc>
        <w:tc>
          <w:tcPr>
            <w:tcW w:type="dxa" w:w="170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Probe ready</w:t>
            </w:r>
          </w:p>
        </w:tc>
      </w:tr>
    </w:tbl>
    <w:p>
      <w:pPr>
        <w:spacing w:before="0" w:after="80"/>
      </w:pPr>
    </w:p>
    <w:p>
      <w:pPr>
        <w:spacing w:before="0" w:after="120" w:line="264" w:lineRule="auto"/>
      </w:pPr>
      <w:r>
        <w:rPr>
          <w:rFonts w:ascii="Calibri" w:hAnsi="Calibri" w:eastAsia="Malgun Gothic"/>
          <w:b/>
          <w:color w:val="172B4D"/>
          <w:sz w:val="21"/>
        </w:rPr>
        <w:t xml:space="preserve">해석 원칙. </w:t>
      </w:r>
      <w:r>
        <w:rPr>
          <w:rFonts w:ascii="Calibri" w:hAnsi="Calibri" w:eastAsia="Malgun Gothic"/>
          <w:color w:val="172B4D"/>
          <w:sz w:val="21"/>
        </w:rPr>
        <w:t>문헌 benchmark의 개선률을 대회 점수로 옮기지 않았다. 공식 종합점수와 로컬 F1·°C·m는 별도 척도이며, 새 구조는 모두 실행 미승인 상태다.</w:t>
      </w:r>
    </w:p>
    <w:p>
      <w:pPr>
        <w:pStyle w:val="Heading1"/>
      </w:pPr>
      <w:r>
        <w:t>1. 연구 질문과 제외선</w:t>
      </w:r>
    </w:p>
    <w:p>
      <w:pPr>
        <w:spacing w:before="0" w:after="120" w:line="264" w:lineRule="auto"/>
      </w:pPr>
      <w:r>
        <w:rPr>
          <w:rFonts w:ascii="Calibri" w:hAnsi="Calibri" w:eastAsia="Malgun Gothic"/>
          <w:color w:val="172B4D"/>
          <w:sz w:val="21"/>
        </w:rPr>
        <w:t>이번 회차의 질문은 ‘기존 family의 threshold를 조금 더 맞출 수 있는가’가 아니라 ‘확인된 실패 원인을 다른 정보경로로 우회할 수 있는가’였다. 각 문제를 독립 조사하고 최고 영향 주장을 원 논문과 저자 공식 코드에서 다시 확인했다.</w:t>
      </w:r>
    </w:p>
    <w:tbl>
      <w:tblPr>
        <w:tblStyle w:val="TableGrid"/>
        <w:tblW w:type="dxa" w:w="9360"/>
        <w:jc w:val="left"/>
        <w:tblLayout w:type="fixed"/>
        <w:tblLook w:firstColumn="1" w:firstRow="1" w:lastColumn="0" w:lastRow="0" w:noHBand="0" w:noVBand="1" w:val="04A0"/>
        <w:tblInd w:w="120" w:type="dxa"/>
      </w:tblPr>
      <w:tblGrid>
        <w:gridCol w:w="950"/>
        <w:gridCol w:w="4010"/>
        <w:gridCol w:w="4400"/>
      </w:tblGrid>
      <w:tr>
        <w:trPr>
          <w:tblHeader w:val="true"/>
        </w:trPr>
        <w:tc>
          <w:tcPr>
            <w:tcW w:type="dxa" w:w="95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문제</w:t>
            </w:r>
          </w:p>
        </w:tc>
        <w:tc>
          <w:tcPr>
            <w:tcW w:type="dxa" w:w="401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다시 하지 않는 것</w:t>
            </w:r>
          </w:p>
        </w:tc>
        <w:tc>
          <w:tcPr>
            <w:tcW w:type="dxa" w:w="440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새 정보경로</w:t>
            </w:r>
          </w:p>
        </w:tc>
      </w:tr>
      <w:tr>
        <w:tc>
          <w:tcPr>
            <w:tcW w:type="dxa" w:w="95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P1</w:t>
            </w:r>
          </w:p>
        </w:tc>
        <w:tc>
          <w:tcPr>
            <w:tcW w:type="dxa" w:w="401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83-bank ranker·masked reconstruction·interval threshold 구조 구제</w:t>
            </w:r>
          </w:p>
        </w:tc>
        <w:tc>
          <w:tcPr>
            <w:tcW w:type="dxa" w:w="440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라벨 없는 hierarchical contrastive representation</w:t>
            </w:r>
          </w:p>
        </w:tc>
      </w:tr>
      <w:tr>
        <w:tc>
          <w:tcPr>
            <w:tcW w:type="dxa" w:w="95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P2</w:t>
            </w:r>
          </w:p>
        </w:tc>
        <w:tc>
          <w:tcPr>
            <w:tcW w:type="dxa" w:w="401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1-mode heave·rank-4 CMFPCA·safe gate 재탐색</w:t>
            </w:r>
          </w:p>
        </w:tc>
        <w:tc>
          <w:tcPr>
            <w:tcW w:type="dxa" w:w="440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공개 T/S가 계속 갱신하는 dynamic latent state</w:t>
            </w:r>
          </w:p>
        </w:tc>
      </w:tr>
      <w:tr>
        <w:tc>
          <w:tcPr>
            <w:tcW w:type="dxa" w:w="95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P3</w:t>
            </w:r>
          </w:p>
        </w:tc>
        <w:tc>
          <w:tcPr>
            <w:tcW w:type="dxa" w:w="401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ERA5 router threshold·Chronos step·TSMixer weight 재탐색</w:t>
            </w:r>
          </w:p>
        </w:tc>
        <w:tc>
          <w:tcPr>
            <w:tcW w:type="dxa" w:w="440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내생 파고와 과거 외생 기상의 비대칭 direct model</w:t>
            </w:r>
          </w:p>
        </w:tc>
      </w:tr>
    </w:tbl>
    <w:p>
      <w:pPr>
        <w:spacing w:before="0" w:after="80"/>
      </w:pPr>
    </w:p>
    <w:p>
      <w:pPr>
        <w:pStyle w:val="Heading1"/>
      </w:pPr>
      <w:r>
        <w:t>2. P2 1순위 — BayOTIDE형 동적 공동 복원</w:t>
      </w:r>
    </w:p>
    <w:p>
      <w:pPr>
        <w:spacing w:before="0" w:after="120" w:line="264" w:lineRule="auto"/>
      </w:pPr>
      <w:r>
        <w:rPr>
          <w:rFonts w:ascii="Calibri" w:hAnsi="Calibri" w:eastAsia="Malgun Gothic"/>
          <w:color w:val="172B4D"/>
          <w:sz w:val="21"/>
        </w:rPr>
        <w:t>BayOTIDE는 다변량 시계열을 서로 다른 pattern의 functional low-rank factor로 분해하고 GP prior를 equivalent SDE/state-space로 바꿔 전역 trend와 주기구조를 갱신한다. P2에서는 actual-depth로 정렬한 T/S 채널 전체가 대상이며, target layer 2·3·4의 T/S는 결측 블록에서 fit과 update 모두에서 배제한다.</w:t>
      </w:r>
    </w:p>
    <w:tbl>
      <w:tblPr>
        <w:tblStyle w:val="TableGrid"/>
        <w:tblW w:type="dxa" w:w="9360"/>
        <w:jc w:val="left"/>
        <w:tblLayout w:type="fixed"/>
        <w:tblLook w:firstColumn="1" w:firstRow="1" w:lastColumn="0" w:lastRow="0" w:noHBand="0" w:noVBand="1" w:val="04A0"/>
        <w:tblInd w:w="120" w:type="dxa"/>
      </w:tblPr>
      <w:tblGrid>
        <w:gridCol w:w="1800"/>
        <w:gridCol w:w="3970"/>
        <w:gridCol w:w="3590"/>
      </w:tblGrid>
      <w:tr>
        <w:trPr>
          <w:tblHeader w:val="true"/>
        </w:trPr>
        <w:tc>
          <w:tcPr>
            <w:tcW w:type="dxa" w:w="180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항목</w:t>
            </w:r>
          </w:p>
        </w:tc>
        <w:tc>
          <w:tcPr>
            <w:tcW w:type="dxa" w:w="397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사전등록 값</w:t>
            </w:r>
          </w:p>
        </w:tc>
        <w:tc>
          <w:tcPr>
            <w:tcW w:type="dxa" w:w="359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이유</w:t>
            </w:r>
          </w:p>
        </w:tc>
      </w:tr>
      <w:tr>
        <w:tc>
          <w:tcPr>
            <w:tcW w:type="dxa" w:w="18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Latent factors</w:t>
            </w:r>
          </w:p>
        </w:tc>
        <w:tc>
          <w:tcPr>
            <w:tcW w:type="dxa" w:w="397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Matérn-3/2 trend 3 + periodic 12.42h·24h 각 1</w:t>
            </w:r>
          </w:p>
        </w:tc>
        <w:tc>
          <w:tcPr>
            <w:tcW w:type="dxa" w:w="359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물리 주기를 포함하되 grid search 0회</w:t>
            </w:r>
          </w:p>
        </w:tc>
      </w:tr>
      <w:tr>
        <w:tc>
          <w:tcPr>
            <w:tcW w:type="dxa" w:w="18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Inference</w:t>
            </w:r>
          </w:p>
        </w:tc>
        <w:tc>
          <w:tcPr>
            <w:tcW w:type="dxa" w:w="397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Forward filter + RTS smoother</w:t>
            </w:r>
          </w:p>
        </w:tc>
        <w:tc>
          <w:tcPr>
            <w:tcW w:type="dxa" w:w="359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가림 전후와 공개층 문맥을 시간상태로 결합</w:t>
            </w:r>
          </w:p>
        </w:tc>
      </w:tr>
      <w:tr>
        <w:tc>
          <w:tcPr>
            <w:tcW w:type="dxa" w:w="18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Primary mask</w:t>
            </w:r>
          </w:p>
        </w:tc>
        <w:tc>
          <w:tcPr>
            <w:tcW w:type="dxa" w:w="397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L2-L4 T/S 동시 block mask</w:t>
            </w:r>
          </w:p>
        </w:tc>
        <w:tc>
          <w:tcPr>
            <w:tcW w:type="dxa" w:w="359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실제 결측 메커니즘 모사</w:t>
            </w:r>
          </w:p>
        </w:tc>
      </w:tr>
      <w:tr>
        <w:tc>
          <w:tcPr>
            <w:tcW w:type="dxa" w:w="18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Comparator</w:t>
            </w:r>
          </w:p>
        </w:tc>
        <w:tc>
          <w:tcPr>
            <w:tcW w:type="dxa" w:w="397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p2_extrapolated_soft_gate_v2 common OOF</w:t>
            </w:r>
          </w:p>
        </w:tc>
        <w:tc>
          <w:tcPr>
            <w:tcW w:type="dxa" w:w="359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가장 강한 공통 비교면 유지</w:t>
            </w:r>
          </w:p>
        </w:tc>
      </w:tr>
      <w:tr>
        <w:tc>
          <w:tcPr>
            <w:tcW w:type="dxa" w:w="18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승격</w:t>
            </w:r>
          </w:p>
        </w:tc>
        <w:tc>
          <w:tcPr>
            <w:tcW w:type="dxa" w:w="397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Δ≤-0.003°C, CI90 upper&lt;0, 2/3 folds, worst layer≤+0.005°C</w:t>
            </w:r>
          </w:p>
        </w:tc>
        <w:tc>
          <w:tcPr>
            <w:tcW w:type="dxa" w:w="359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작은 fitted 이득과 층 붕괴 동시 차단</w:t>
            </w:r>
          </w:p>
        </w:tc>
      </w:tr>
    </w:tbl>
    <w:p>
      <w:pPr>
        <w:spacing w:before="0" w:after="8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tcMar>
              <w:top w:w="80" w:type="dxa"/>
              <w:bottom w:w="80" w:type="dxa"/>
              <w:start w:w="120" w:type="dxa"/>
              <w:end w:w="120" w:type="dxa"/>
            </w:tcMar>
          </w:tcPr>
          <w:p>
            <w:pPr>
              <w:spacing w:before="40" w:after="40" w:line="259" w:lineRule="auto"/>
            </w:pPr>
            <w:r>
              <w:rPr>
                <w:rFonts w:ascii="Calibri" w:hAnsi="Calibri" w:eastAsia="Malgun Gothic"/>
                <w:b/>
                <w:color w:val="1F4D78"/>
                <w:sz w:val="21"/>
              </w:rPr>
              <w:t xml:space="preserve">가장 큰 반증  </w:t>
            </w:r>
            <w:r>
              <w:rPr>
                <w:rFonts w:ascii="Calibri" w:hAnsi="Calibri" w:eastAsia="Malgun Gothic"/>
                <w:color w:val="172B4D"/>
                <w:sz w:val="20"/>
              </w:rPr>
              <w:t>논문의 real-data missingness는 P2의 61일 target-channel blackout과 동일하지 않다. Random point mask 성능은 승격 근거로 쓰지 않고, 기존 세 historical block과 7일 purge에서만 판정한다.</w:t>
            </w:r>
          </w:p>
        </w:tc>
      </w:tr>
    </w:tbl>
    <w:p>
      <w:pPr>
        <w:spacing w:after="80"/>
      </w:pPr>
    </w:p>
    <w:p>
      <w:pPr>
        <w:spacing w:before="0" w:after="120" w:line="264" w:lineRule="auto"/>
      </w:pPr>
      <w:r>
        <w:rPr>
          <w:rFonts w:ascii="Calibri" w:hAnsi="Calibri" w:eastAsia="Malgun Gothic"/>
          <w:b/>
          <w:color w:val="172B4D"/>
          <w:sz w:val="21"/>
        </w:rPr>
        <w:t xml:space="preserve">우선순위 근거. </w:t>
      </w:r>
      <w:r>
        <w:rPr>
          <w:rFonts w:ascii="Calibri" w:hAnsi="Calibri" w:eastAsia="Malgun Gothic"/>
          <w:color w:val="172B4D"/>
          <w:sz w:val="21"/>
        </w:rPr>
        <w:t>공식 OAS 10%→20%의 상승은 수직 T/S 공분산 family가 숨은 평가면에서 유효할 가능성을 보여줬다. BayOTIDE는 그 신호를 단순 blend 확대가 아니라 시간에 따라 변화하는 latent profile로 확장한다.</w:t>
      </w:r>
    </w:p>
    <w:p>
      <w:pPr>
        <w:pStyle w:val="Heading1"/>
      </w:pPr>
      <w:r>
        <w:t>3. P1 2순위 — TS2Vec 조건부 normal prototype</w:t>
      </w:r>
    </w:p>
    <w:p>
      <w:pPr>
        <w:spacing w:before="0" w:after="120" w:line="264" w:lineRule="auto"/>
      </w:pPr>
      <w:r>
        <w:rPr>
          <w:rFonts w:ascii="Calibri" w:hAnsi="Calibri" w:eastAsia="Malgun Gothic"/>
          <w:color w:val="172B4D"/>
          <w:sz w:val="21"/>
        </w:rPr>
        <w:t>P1의 병목은 event verifier가 약해서가 아니라 독립 qualification에 양성 proposal이 1개뿐이어서 학습 자체가 성립하지 않은 점이다. TS2Vec는 augmented context view 사이의 hierarchical contrastive agreement로 timestamp representation을 학습하므로 anomaly label 없이 proposal support를 새로 만들 수 있다.</w:t>
      </w:r>
    </w:p>
    <w:tbl>
      <w:tblPr>
        <w:tblStyle w:val="TableGrid"/>
        <w:tblW w:type="dxa" w:w="9360"/>
        <w:jc w:val="left"/>
        <w:tblLayout w:type="fixed"/>
        <w:tblLook w:firstColumn="1" w:firstRow="1" w:lastColumn="0" w:lastRow="0" w:noHBand="0" w:noVBand="1" w:val="04A0"/>
        <w:tblInd w:w="120" w:type="dxa"/>
      </w:tblPr>
      <w:tblGrid>
        <w:gridCol w:w="1800"/>
        <w:gridCol w:w="3910"/>
        <w:gridCol w:w="3650"/>
      </w:tblGrid>
      <w:tr>
        <w:trPr>
          <w:tblHeader w:val="true"/>
        </w:trPr>
        <w:tc>
          <w:tcPr>
            <w:tcW w:type="dxa" w:w="180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항목</w:t>
            </w:r>
          </w:p>
        </w:tc>
        <w:tc>
          <w:tcPr>
            <w:tcW w:type="dxa" w:w="391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사전등록 값</w:t>
            </w:r>
          </w:p>
        </w:tc>
        <w:tc>
          <w:tcPr>
            <w:tcW w:type="dxa" w:w="365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보호장치</w:t>
            </w:r>
          </w:p>
        </w:tc>
      </w:tr>
      <w:tr>
        <w:tc>
          <w:tcPr>
            <w:tcW w:type="dxa" w:w="18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Encoder fit</w:t>
            </w:r>
          </w:p>
        </w:tc>
        <w:tc>
          <w:tcPr>
            <w:tcW w:type="dxa" w:w="391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2024-09-15 이전, label-free</w:t>
            </w:r>
          </w:p>
        </w:tc>
        <w:tc>
          <w:tcPr>
            <w:tcW w:type="dxa" w:w="365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Loss·sampling에 label 미사용</w:t>
            </w:r>
          </w:p>
        </w:tc>
      </w:tr>
      <w:tr>
        <w:tc>
          <w:tcPr>
            <w:tcW w:type="dxa" w:w="18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Window</w:t>
            </w:r>
          </w:p>
        </w:tc>
        <w:tc>
          <w:tcPr>
            <w:tcW w:type="dxa" w:w="391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512 rows, multiscale timestamp embedding</w:t>
            </w:r>
          </w:p>
        </w:tc>
        <w:tc>
          <w:tcPr>
            <w:tcW w:type="dxa" w:w="365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연속 segment gap 횡단 금지</w:t>
            </w:r>
          </w:p>
        </w:tc>
      </w:tr>
      <w:tr>
        <w:tc>
          <w:tcPr>
            <w:tcW w:type="dxa" w:w="18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Normal score</w:t>
            </w:r>
          </w:p>
        </w:tc>
        <w:tc>
          <w:tcPr>
            <w:tcW w:type="dxa" w:w="391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Station×layer seasonal prototype + global shrinkage + kNN</w:t>
            </w:r>
          </w:p>
        </w:tc>
        <w:tc>
          <w:tcPr>
            <w:tcW w:type="dxa" w:w="365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Test prevalence·SPOT·point adjustment 금지</w:t>
            </w:r>
          </w:p>
        </w:tc>
      </w:tr>
      <w:tr>
        <w:tc>
          <w:tcPr>
            <w:tcW w:type="dxa" w:w="18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Candidate</w:t>
            </w:r>
          </w:p>
        </w:tc>
        <w:tc>
          <w:tcPr>
            <w:tcW w:type="dxa" w:w="391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Frozen e150 anchor OR additions</w:t>
            </w:r>
          </w:p>
        </w:tc>
        <w:tc>
          <w:tcPr>
            <w:tcW w:type="dxa" w:w="365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Anchor 1 삭제 금지</w:t>
            </w:r>
          </w:p>
        </w:tc>
      </w:tr>
      <w:tr>
        <w:tc>
          <w:tcPr>
            <w:tcW w:type="dxa" w:w="18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승격</w:t>
            </w:r>
          </w:p>
        </w:tc>
        <w:tc>
          <w:tcPr>
            <w:tcW w:type="dxa" w:w="391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두 구간 ΔF1&gt;0, new event≥2, ≥2 cells, bootstrap P≥.8</w:t>
            </w:r>
          </w:p>
        </w:tc>
        <w:tc>
          <w:tcPr>
            <w:tcW w:type="dxa" w:w="365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FP/day cap 동시 통과</w:t>
            </w:r>
          </w:p>
        </w:tc>
      </w:tr>
    </w:tbl>
    <w:p>
      <w:pPr>
        <w:spacing w:before="0" w:after="8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tcMar>
              <w:top w:w="80" w:type="dxa"/>
              <w:bottom w:w="80" w:type="dxa"/>
              <w:start w:w="120" w:type="dxa"/>
              <w:end w:w="120" w:type="dxa"/>
            </w:tcMar>
          </w:tcPr>
          <w:p>
            <w:pPr>
              <w:spacing w:before="40" w:after="40" w:line="259" w:lineRule="auto"/>
            </w:pPr>
            <w:r>
              <w:rPr>
                <w:rFonts w:ascii="Calibri" w:hAnsi="Calibri" w:eastAsia="Malgun Gothic"/>
                <w:b/>
                <w:color w:val="1F4D78"/>
                <w:sz w:val="21"/>
              </w:rPr>
              <w:t xml:space="preserve">가장 큰 반증  </w:t>
            </w:r>
            <w:r>
              <w:rPr>
                <w:rFonts w:ascii="Calibri" w:hAnsi="Calibri" w:eastAsia="Malgun Gothic"/>
                <w:color w:val="172B4D"/>
                <w:sz w:val="20"/>
              </w:rPr>
              <w:t>TS2Vec의 published anomaly protocol은 point anomaly와 local adjustment 중심이다. 우리는 encoder만 차용하고 P1 event decoder와 honest historical qualification으로 다시 검증한다.</w:t>
            </w:r>
          </w:p>
        </w:tc>
      </w:tr>
    </w:tbl>
    <w:p>
      <w:pPr>
        <w:spacing w:after="80"/>
      </w:pPr>
    </w:p>
    <w:p>
      <w:pPr>
        <w:pStyle w:val="Heading1"/>
      </w:pPr>
      <w:r>
        <w:t>4. P3 3순위 — TimeXer형 past-exogenous direct 6-lead</w:t>
      </w:r>
    </w:p>
    <w:p>
      <w:pPr>
        <w:spacing w:before="0" w:after="120" w:line="264" w:lineRule="auto"/>
      </w:pPr>
      <w:r>
        <w:rPr>
          <w:rFonts w:ascii="Calibri" w:hAnsi="Calibri" w:eastAsia="Malgun Gothic"/>
          <w:color w:val="172B4D"/>
          <w:sz w:val="21"/>
        </w:rPr>
        <w:t>TimeXer는 endogenous temporal patch self-attention과 exogenous variate cross-attention을 분리한다. P3에서는 과거 48시간 hs만 endogenous로, tp·hmax·wind·pressure·air state·mask만 exogenous로 사용하고 미래 기상·절대시각은 금지한다. 출력은 6개 lead residual의 직접 joint head다.</w:t>
      </w:r>
    </w:p>
    <w:tbl>
      <w:tblPr>
        <w:tblStyle w:val="TableGrid"/>
        <w:tblW w:type="dxa" w:w="9360"/>
        <w:jc w:val="left"/>
        <w:tblLayout w:type="fixed"/>
        <w:tblLook w:firstColumn="1" w:firstRow="1" w:lastColumn="0" w:lastRow="0" w:noHBand="0" w:noVBand="1" w:val="04A0"/>
        <w:tblInd w:w="120" w:type="dxa"/>
      </w:tblPr>
      <w:tblGrid>
        <w:gridCol w:w="1800"/>
        <w:gridCol w:w="3910"/>
        <w:gridCol w:w="3650"/>
      </w:tblGrid>
      <w:tr>
        <w:trPr>
          <w:tblHeader w:val="true"/>
        </w:trPr>
        <w:tc>
          <w:tcPr>
            <w:tcW w:type="dxa" w:w="180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항목</w:t>
            </w:r>
          </w:p>
        </w:tc>
        <w:tc>
          <w:tcPr>
            <w:tcW w:type="dxa" w:w="391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사전등록 값</w:t>
            </w:r>
          </w:p>
        </w:tc>
        <w:tc>
          <w:tcPr>
            <w:tcW w:type="dxa" w:w="365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보호장치</w:t>
            </w:r>
          </w:p>
        </w:tc>
      </w:tr>
      <w:tr>
        <w:tc>
          <w:tcPr>
            <w:tcW w:type="dxa" w:w="18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출력</w:t>
            </w:r>
          </w:p>
        </w:tc>
        <w:tc>
          <w:tcPr>
            <w:tcW w:type="dxa" w:w="391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3/6/9/12/18/24h direct residual</w:t>
            </w:r>
          </w:p>
        </w:tc>
        <w:tc>
          <w:tcPr>
            <w:tcW w:type="dxa" w:w="365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Lead별 사후 model 선택 금지</w:t>
            </w:r>
          </w:p>
        </w:tc>
      </w:tr>
      <w:tr>
        <w:tc>
          <w:tcPr>
            <w:tcW w:type="dxa" w:w="18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Seeds</w:t>
            </w:r>
          </w:p>
        </w:tc>
        <w:tc>
          <w:tcPr>
            <w:tcW w:type="dxa" w:w="391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142857 / 271828 / 314159</w:t>
            </w:r>
          </w:p>
        </w:tc>
        <w:tc>
          <w:tcPr>
            <w:tcW w:type="dxa" w:w="365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Inner-best checkpoint ensemble</w:t>
            </w:r>
          </w:p>
        </w:tc>
      </w:tr>
      <w:tr>
        <w:tc>
          <w:tcPr>
            <w:tcW w:type="dxa" w:w="18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검증</w:t>
            </w:r>
          </w:p>
        </w:tc>
        <w:tc>
          <w:tcPr>
            <w:tcW w:type="dxa" w:w="391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3 outer, prediction seal 후 truth attach</w:t>
            </w:r>
          </w:p>
        </w:tc>
        <w:tc>
          <w:tcPr>
            <w:tcW w:type="dxa" w:w="365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Expert router·future covariate 미사용</w:t>
            </w:r>
          </w:p>
        </w:tc>
      </w:tr>
      <w:tr>
        <w:tc>
          <w:tcPr>
            <w:tcW w:type="dxa" w:w="18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승격</w:t>
            </w:r>
          </w:p>
        </w:tc>
        <w:tc>
          <w:tcPr>
            <w:tcW w:type="dxa" w:w="391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Δ≤-0.005m, CI90 upper&lt;0, 2/3 folds</w:t>
            </w:r>
          </w:p>
        </w:tc>
        <w:tc>
          <w:tcPr>
            <w:tcW w:type="dxa" w:w="365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Worst station≤+0.01m</w:t>
            </w:r>
          </w:p>
        </w:tc>
      </w:tr>
      <w:tr>
        <w:tc>
          <w:tcPr>
            <w:tcW w:type="dxa" w:w="18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장리드</w:t>
            </w:r>
          </w:p>
        </w:tc>
        <w:tc>
          <w:tcPr>
            <w:tcW w:type="dxa" w:w="391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12/18/24h 모두 비악화</w:t>
            </w:r>
          </w:p>
        </w:tc>
        <w:tc>
          <w:tcPr>
            <w:tcW w:type="dxa" w:w="365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P3 총점의 long-lead 붕괴 차단</w:t>
            </w:r>
          </w:p>
        </w:tc>
      </w:tr>
    </w:tbl>
    <w:p>
      <w:pPr>
        <w:spacing w:before="0" w:after="8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tcMar>
              <w:top w:w="80" w:type="dxa"/>
              <w:bottom w:w="80" w:type="dxa"/>
              <w:start w:w="120" w:type="dxa"/>
              <w:end w:w="120" w:type="dxa"/>
            </w:tcMar>
          </w:tcPr>
          <w:p>
            <w:pPr>
              <w:spacing w:before="40" w:after="40" w:line="259" w:lineRule="auto"/>
            </w:pPr>
            <w:r>
              <w:rPr>
                <w:rFonts w:ascii="Calibri" w:hAnsi="Calibri" w:eastAsia="Malgun Gothic"/>
                <w:b/>
                <w:color w:val="1F4D78"/>
                <w:sz w:val="21"/>
              </w:rPr>
              <w:t xml:space="preserve">가장 큰 반증  </w:t>
            </w:r>
            <w:r>
              <w:rPr>
                <w:rFonts w:ascii="Calibri" w:hAnsi="Calibri" w:eastAsia="Malgun Gothic"/>
                <w:color w:val="172B4D"/>
                <w:sz w:val="20"/>
              </w:rPr>
              <w:t>3개 station과 제한된 anchor에서 Transformer는 쉽게 과적합한다. Inner에서 persistence를 안정적으로 이기지 못하면 outer를 실행하지 않고 즉시 중단한다.</w:t>
            </w:r>
          </w:p>
        </w:tc>
      </w:tr>
    </w:tbl>
    <w:p>
      <w:pPr>
        <w:spacing w:after="80"/>
      </w:pPr>
    </w:p>
    <w:p>
      <w:pPr>
        <w:pStyle w:val="Heading1"/>
      </w:pPr>
      <w:r>
        <w:t>5. 즉시 가치가 있는 별도 축 — P2 OAS α=.40</w:t>
      </w:r>
    </w:p>
    <w:p>
      <w:pPr>
        <w:spacing w:before="0" w:after="120" w:line="264" w:lineRule="auto"/>
      </w:pPr>
      <w:r>
        <w:rPr>
          <w:rFonts w:ascii="Calibri" w:hAnsi="Calibri" w:eastAsia="Malgun Gothic"/>
          <w:color w:val="172B4D"/>
          <w:sz w:val="21"/>
        </w:rPr>
        <w:t>OAS α=.40은 이번 문헌조사에서 새로 만든 모델이 아니다. 이미 공식 α=.10과 α=.20이 연속 개선됐고, α=.40 파일은 lineage reproduction, 26,061행 schema, PAVA idempotence, SHA-256 독립 QA를 통과했다.</w:t>
      </w:r>
    </w:p>
    <w:tbl>
      <w:tblPr>
        <w:tblStyle w:val="TableGrid"/>
        <w:tblW w:type="dxa" w:w="9360"/>
        <w:jc w:val="left"/>
        <w:tblLayout w:type="fixed"/>
        <w:tblLook w:firstColumn="1" w:firstRow="1" w:lastColumn="0" w:lastRow="0" w:noHBand="0" w:noVBand="1" w:val="04A0"/>
        <w:tblInd w:w="120" w:type="dxa"/>
      </w:tblPr>
      <w:tblGrid>
        <w:gridCol w:w="2100"/>
        <w:gridCol w:w="2960"/>
        <w:gridCol w:w="4300"/>
      </w:tblGrid>
      <w:tr>
        <w:trPr>
          <w:tblHeader w:val="true"/>
        </w:trPr>
        <w:tc>
          <w:tcPr>
            <w:tcW w:type="dxa" w:w="210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항목</w:t>
            </w:r>
          </w:p>
        </w:tc>
        <w:tc>
          <w:tcPr>
            <w:tcW w:type="dxa" w:w="296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확인값</w:t>
            </w:r>
          </w:p>
        </w:tc>
        <w:tc>
          <w:tcPr>
            <w:tcW w:type="dxa" w:w="430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의미</w:t>
            </w:r>
          </w:p>
        </w:tc>
      </w:tr>
      <w:tr>
        <w:tc>
          <w:tcPr>
            <w:tcW w:type="dxa" w:w="21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공식 α=.10</w:t>
            </w:r>
          </w:p>
        </w:tc>
        <w:tc>
          <w:tcPr>
            <w:tcW w:type="dxa" w:w="296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RMSE 0.507628 / 26.963865점</w:t>
            </w:r>
          </w:p>
        </w:tc>
        <w:tc>
          <w:tcPr>
            <w:tcW w:type="dxa" w:w="430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첫 구조 probe 개선</w:t>
            </w:r>
          </w:p>
        </w:tc>
      </w:tr>
      <w:tr>
        <w:tc>
          <w:tcPr>
            <w:tcW w:type="dxa" w:w="21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공식 α=.20</w:t>
            </w:r>
          </w:p>
        </w:tc>
        <w:tc>
          <w:tcPr>
            <w:tcW w:type="dxa" w:w="296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RMSE 0.483661 / 27.264587점</w:t>
            </w:r>
          </w:p>
        </w:tc>
        <w:tc>
          <w:tcPr>
            <w:tcW w:type="dxa" w:w="430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같은 방향 추가 개선</w:t>
            </w:r>
          </w:p>
        </w:tc>
      </w:tr>
      <w:tr>
        <w:tc>
          <w:tcPr>
            <w:tcW w:type="dxa" w:w="21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α=.40 조건부 예상</w:t>
            </w:r>
          </w:p>
        </w:tc>
        <w:tc>
          <w:tcPr>
            <w:tcW w:type="dxa" w:w="296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RMSE 중심 0.448627</w:t>
            </w:r>
          </w:p>
        </w:tc>
        <w:tc>
          <w:tcPr>
            <w:tcW w:type="dxa" w:w="430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보장은 아닌 기하 기반 추정</w:t>
            </w:r>
          </w:p>
        </w:tc>
      </w:tr>
      <w:tr>
        <w:tc>
          <w:tcPr>
            <w:tcW w:type="dxa" w:w="21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α=.20 대비 기대</w:t>
            </w:r>
          </w:p>
        </w:tc>
        <w:tc>
          <w:tcPr>
            <w:tcW w:type="dxa" w:w="296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약 +0.23~+0.44점</w:t>
            </w:r>
          </w:p>
        </w:tc>
        <w:tc>
          <w:tcPr>
            <w:tcW w:type="dxa" w:w="430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공식 한 슬롯의 정보가치</w:t>
            </w:r>
          </w:p>
        </w:tc>
      </w:tr>
      <w:tr>
        <w:tc>
          <w:tcPr>
            <w:tcW w:type="dxa" w:w="210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현재 권한</w:t>
            </w:r>
          </w:p>
        </w:tc>
        <w:tc>
          <w:tcPr>
            <w:tcW w:type="dxa" w:w="296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업로드 미승인</w:t>
            </w:r>
          </w:p>
        </w:tc>
        <w:tc>
          <w:tcPr>
            <w:tcW w:type="dxa" w:w="430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정확한 파일·SHA 재승인 필요</w:t>
            </w:r>
          </w:p>
        </w:tc>
      </w:tr>
    </w:tbl>
    <w:p>
      <w:pPr>
        <w:spacing w:before="0" w:after="8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tcMar>
              <w:top w:w="80" w:type="dxa"/>
              <w:bottom w:w="80" w:type="dxa"/>
              <w:start w:w="120" w:type="dxa"/>
              <w:end w:w="120" w:type="dxa"/>
            </w:tcMar>
          </w:tcPr>
          <w:p>
            <w:pPr>
              <w:spacing w:before="40" w:after="40" w:line="259" w:lineRule="auto"/>
            </w:pPr>
            <w:r>
              <w:rPr>
                <w:rFonts w:ascii="Calibri" w:hAnsi="Calibri" w:eastAsia="Malgun Gothic"/>
                <w:b/>
                <w:color w:val="1F4D78"/>
                <w:sz w:val="21"/>
              </w:rPr>
              <w:t xml:space="preserve">의사결정 분리  </w:t>
            </w:r>
            <w:r>
              <w:rPr>
                <w:rFonts w:ascii="Calibri" w:hAnsi="Calibri" w:eastAsia="Malgun Gothic"/>
                <w:color w:val="172B4D"/>
                <w:sz w:val="20"/>
              </w:rPr>
              <w:t>OAS40은 단기 공식 probe이고 BayOTIDE·TS2Vec·TimeXer는 새 구조 연구다. OAS40을 제출하더라도 새 구조의 우열이 증명되는 것은 아니며, 로컬 OOF가 반대로 악화한 사실도 함께 기록한다.</w:t>
            </w:r>
          </w:p>
        </w:tc>
      </w:tr>
    </w:tbl>
    <w:p>
      <w:pPr>
        <w:spacing w:after="80"/>
      </w:pPr>
    </w:p>
    <w:p>
      <w:pPr>
        <w:pStyle w:val="Heading1"/>
      </w:pPr>
      <w:r>
        <w:t>6. 실행 순서와 중단선</w:t>
      </w:r>
    </w:p>
    <w:tbl>
      <w:tblPr>
        <w:tblStyle w:val="TableGrid"/>
        <w:tblW w:type="dxa" w:w="9360"/>
        <w:jc w:val="left"/>
        <w:tblLayout w:type="fixed"/>
        <w:tblLook w:firstColumn="1" w:firstRow="1" w:lastColumn="0" w:lastRow="0" w:noHBand="0" w:noVBand="1" w:val="04A0"/>
        <w:tblInd w:w="120" w:type="dxa"/>
      </w:tblPr>
      <w:tblGrid>
        <w:gridCol w:w="780"/>
        <w:gridCol w:w="3090"/>
        <w:gridCol w:w="2040"/>
        <w:gridCol w:w="3450"/>
      </w:tblGrid>
      <w:tr>
        <w:trPr>
          <w:tblHeader w:val="true"/>
        </w:trPr>
        <w:tc>
          <w:tcPr>
            <w:tcW w:type="dxa" w:w="78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순서</w:t>
            </w:r>
          </w:p>
        </w:tc>
        <w:tc>
          <w:tcPr>
            <w:tcW w:type="dxa" w:w="309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작업</w:t>
            </w:r>
          </w:p>
        </w:tc>
        <w:tc>
          <w:tcPr>
            <w:tcW w:type="dxa" w:w="204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예상 자원</w:t>
            </w:r>
          </w:p>
        </w:tc>
        <w:tc>
          <w:tcPr>
            <w:tcW w:type="dxa" w:w="345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첫 중단선</w:t>
            </w:r>
          </w:p>
        </w:tc>
      </w:tr>
      <w:tr>
        <w:tc>
          <w:tcPr>
            <w:tcW w:type="dxa" w:w="78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A</w:t>
            </w:r>
          </w:p>
        </w:tc>
        <w:tc>
          <w:tcPr>
            <w:tcW w:type="dxa" w:w="309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P2 OAS40 공식 probe 여부 결정</w:t>
            </w:r>
          </w:p>
        </w:tc>
        <w:tc>
          <w:tcPr>
            <w:tcW w:type="dxa" w:w="204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업로드 1회</w:t>
            </w:r>
          </w:p>
        </w:tc>
        <w:tc>
          <w:tcPr>
            <w:tcW w:type="dxa" w:w="345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정확한 파일 승인 없으면 0회</w:t>
            </w:r>
          </w:p>
        </w:tc>
      </w:tr>
      <w:tr>
        <w:tc>
          <w:tcPr>
            <w:tcW w:type="dxa" w:w="78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1</w:t>
            </w:r>
          </w:p>
        </w:tc>
        <w:tc>
          <w:tcPr>
            <w:tcW w:type="dxa" w:w="309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P2 BayOTIDE bounded run</w:t>
            </w:r>
          </w:p>
        </w:tc>
        <w:tc>
          <w:tcPr>
            <w:tcW w:type="dxa" w:w="204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낮음~중간, 약 1~3h</w:t>
            </w:r>
          </w:p>
        </w:tc>
        <w:tc>
          <w:tcPr>
            <w:tcW w:type="dxa" w:w="345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Mask/leakage/OOF gate 실패</w:t>
            </w:r>
          </w:p>
        </w:tc>
      </w:tr>
      <w:tr>
        <w:tc>
          <w:tcPr>
            <w:tcW w:type="dxa" w:w="78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2</w:t>
            </w:r>
          </w:p>
        </w:tc>
        <w:tc>
          <w:tcPr>
            <w:tcW w:type="dxa" w:w="309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P1 TS2Vec bounded screen</w:t>
            </w:r>
          </w:p>
        </w:tc>
        <w:tc>
          <w:tcPr>
            <w:tcW w:type="dxa" w:w="204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RTX5090 약 30~90m</w:t>
            </w:r>
          </w:p>
        </w:tc>
        <w:tc>
          <w:tcPr>
            <w:tcW w:type="dxa" w:w="345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Embedding coverage·FP/day·event support 실패</w:t>
            </w:r>
          </w:p>
        </w:tc>
      </w:tr>
      <w:tr>
        <w:tc>
          <w:tcPr>
            <w:tcW w:type="dxa" w:w="78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3</w:t>
            </w:r>
          </w:p>
        </w:tc>
        <w:tc>
          <w:tcPr>
            <w:tcW w:type="dxa" w:w="309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P3 TimeXer nested run</w:t>
            </w:r>
          </w:p>
        </w:tc>
        <w:tc>
          <w:tcPr>
            <w:tcW w:type="dxa" w:w="204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RTX5090 약 2~4h</w:t>
            </w:r>
          </w:p>
        </w:tc>
        <w:tc>
          <w:tcPr>
            <w:tcW w:type="dxa" w:w="345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Inner persistence 안정성 실패</w:t>
            </w:r>
          </w:p>
        </w:tc>
      </w:tr>
    </w:tbl>
    <w:p>
      <w:pPr>
        <w:spacing w:before="0" w:after="80"/>
      </w:pPr>
    </w:p>
    <w:p>
      <w:pPr>
        <w:spacing w:before="0" w:after="120" w:line="264" w:lineRule="auto"/>
      </w:pPr>
      <w:r>
        <w:rPr>
          <w:rFonts w:ascii="Calibri" w:hAnsi="Calibri" w:eastAsia="Malgun Gothic"/>
          <w:b/>
          <w:color w:val="172B4D"/>
          <w:sz w:val="21"/>
        </w:rPr>
        <w:t xml:space="preserve">재실행 금지선. </w:t>
      </w:r>
      <w:r>
        <w:rPr>
          <w:rFonts w:ascii="Calibri" w:hAnsi="Calibri" w:eastAsia="Malgun Gothic"/>
          <w:color w:val="172B4D"/>
          <w:sz w:val="21"/>
        </w:rPr>
        <w:t>결과를 본 뒤 factor 수, context/window, epoch, threshold, patch width를 낮추거나 늘려 같은 family를 구제하지 않는다. Best checkpoint는 마지막 epoch가 아니라 사전등록 inner-best로 복원한다.</w:t>
      </w:r>
    </w:p>
    <w:p>
      <w:pPr>
        <w:pStyle w:val="Heading1"/>
      </w:pPr>
      <w:r>
        <w:t>7. 근거와 불확실성</w:t>
      </w:r>
    </w:p>
    <w:tbl>
      <w:tblPr>
        <w:tblStyle w:val="TableGrid"/>
        <w:tblW w:type="dxa" w:w="9360"/>
        <w:jc w:val="left"/>
        <w:tblLayout w:type="fixed"/>
        <w:tblLook w:firstColumn="1" w:firstRow="1" w:lastColumn="0" w:lastRow="0" w:noHBand="0" w:noVBand="1" w:val="04A0"/>
        <w:tblInd w:w="120" w:type="dxa"/>
      </w:tblPr>
      <w:tblGrid>
        <w:gridCol w:w="850"/>
        <w:gridCol w:w="3120"/>
        <w:gridCol w:w="2970"/>
        <w:gridCol w:w="2420"/>
      </w:tblGrid>
      <w:tr>
        <w:trPr>
          <w:tblHeader w:val="true"/>
        </w:trPr>
        <w:tc>
          <w:tcPr>
            <w:tcW w:type="dxa" w:w="85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ID</w:t>
            </w:r>
          </w:p>
        </w:tc>
        <w:tc>
          <w:tcPr>
            <w:tcW w:type="dxa" w:w="312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1차 출처</w:t>
            </w:r>
          </w:p>
        </w:tc>
        <w:tc>
          <w:tcPr>
            <w:tcW w:type="dxa" w:w="297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검증한 주장</w:t>
            </w:r>
          </w:p>
        </w:tc>
        <w:tc>
          <w:tcPr>
            <w:tcW w:type="dxa" w:w="2420"/>
            <w:shd w:fill="F2F4F7"/>
            <w:vAlign w:val="center"/>
            <w:tcMar>
              <w:top w:w="80" w:type="dxa"/>
              <w:bottom w:w="80" w:type="dxa"/>
              <w:start w:w="120" w:type="dxa"/>
              <w:end w:w="120" w:type="dxa"/>
            </w:tcMar>
          </w:tcPr>
          <w:p>
            <w:pPr>
              <w:spacing w:before="0" w:after="0" w:line="252" w:lineRule="auto"/>
              <w:jc w:val="center"/>
            </w:pPr>
            <w:r>
              <w:rPr>
                <w:rFonts w:ascii="Calibri" w:hAnsi="Calibri" w:eastAsia="Malgun Gothic"/>
                <w:b/>
                <w:color w:val="1F4D78"/>
                <w:sz w:val="18"/>
              </w:rPr>
              <w:t>남은 gap</w:t>
            </w:r>
          </w:p>
        </w:tc>
      </w:tr>
      <w:tr>
        <w:tc>
          <w:tcPr>
            <w:tcW w:type="dxa" w:w="85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P1-1</w:t>
            </w:r>
          </w:p>
        </w:tc>
        <w:tc>
          <w:tcPr>
            <w:tcW w:type="dxa" w:w="312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Yue et al., AAAI 2022 / official code</w:t>
            </w:r>
          </w:p>
        </w:tc>
        <w:tc>
          <w:tcPr>
            <w:tcW w:type="dxa" w:w="297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Hierarchical contrastive timestamp representation</w:t>
            </w:r>
          </w:p>
        </w:tc>
        <w:tc>
          <w:tcPr>
            <w:tcW w:type="dxa" w:w="242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P1 long-event F1</w:t>
            </w:r>
          </w:p>
        </w:tc>
      </w:tr>
      <w:tr>
        <w:tc>
          <w:tcPr>
            <w:tcW w:type="dxa" w:w="85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P2-1</w:t>
            </w:r>
          </w:p>
        </w:tc>
        <w:tc>
          <w:tcPr>
            <w:tcW w:type="dxa" w:w="312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Fang et al., ICML 2024 / official code</w:t>
            </w:r>
          </w:p>
        </w:tc>
        <w:tc>
          <w:tcPr>
            <w:tcW w:type="dxa" w:w="297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Functional low-rank GP→SDE state-space</w:t>
            </w:r>
          </w:p>
        </w:tc>
        <w:tc>
          <w:tcPr>
            <w:tcW w:type="dxa" w:w="242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61-day block mask</w:t>
            </w:r>
          </w:p>
        </w:tc>
      </w:tr>
      <w:tr>
        <w:tc>
          <w:tcPr>
            <w:tcW w:type="dxa" w:w="85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P2-2</w:t>
            </w:r>
          </w:p>
        </w:tc>
        <w:tc>
          <w:tcPr>
            <w:tcW w:type="dxa" w:w="312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Nie et al., KDD 2024 / official code</w:t>
            </w:r>
          </w:p>
        </w:tc>
        <w:tc>
          <w:tcPr>
            <w:tcW w:type="dxa" w:w="297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Low-rank attention block imputation</w:t>
            </w:r>
          </w:p>
        </w:tc>
        <w:tc>
          <w:tcPr>
            <w:tcW w:type="dxa" w:w="242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Actual-depth 변형</w:t>
            </w:r>
          </w:p>
        </w:tc>
      </w:tr>
      <w:tr>
        <w:tc>
          <w:tcPr>
            <w:tcW w:type="dxa" w:w="85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P3-1</w:t>
            </w:r>
          </w:p>
        </w:tc>
        <w:tc>
          <w:tcPr>
            <w:tcW w:type="dxa" w:w="312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Wang et al., NeurIPS 2024 / official code</w:t>
            </w:r>
          </w:p>
        </w:tc>
        <w:tc>
          <w:tcPr>
            <w:tcW w:type="dxa" w:w="297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Endogenous/exogenous asymmetric attention</w:t>
            </w:r>
          </w:p>
        </w:tc>
        <w:tc>
          <w:tcPr>
            <w:tcW w:type="dxa" w:w="242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Past-only small sample</w:t>
            </w:r>
          </w:p>
        </w:tc>
      </w:tr>
      <w:tr>
        <w:tc>
          <w:tcPr>
            <w:tcW w:type="dxa" w:w="850"/>
            <w:vAlign w:val="center"/>
            <w:tcMar>
              <w:top w:w="80" w:type="dxa"/>
              <w:bottom w:w="80" w:type="dxa"/>
              <w:start w:w="120" w:type="dxa"/>
              <w:end w:w="120" w:type="dxa"/>
            </w:tcMar>
          </w:tcPr>
          <w:p>
            <w:pPr>
              <w:spacing w:before="0" w:after="0" w:line="252" w:lineRule="auto"/>
              <w:jc w:val="left"/>
            </w:pPr>
            <w:r>
              <w:rPr>
                <w:rFonts w:ascii="Calibri" w:hAnsi="Calibri" w:eastAsia="Malgun Gothic"/>
                <w:b w:val="0"/>
                <w:color w:val="172B4D"/>
                <w:sz w:val="18"/>
              </w:rPr>
              <w:t>P3-2</w:t>
            </w:r>
          </w:p>
        </w:tc>
        <w:tc>
          <w:tcPr>
            <w:tcW w:type="dxa" w:w="312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SWAN technical documentation</w:t>
            </w:r>
          </w:p>
        </w:tc>
        <w:tc>
          <w:tcPr>
            <w:tcW w:type="dxa" w:w="297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Wave action/energy source-sink 원리</w:t>
            </w:r>
          </w:p>
        </w:tc>
        <w:tc>
          <w:tcPr>
            <w:tcW w:type="dxa" w:w="2420"/>
            <w:vAlign w:val="center"/>
            <w:tcMar>
              <w:top w:w="80" w:type="dxa"/>
              <w:bottom w:w="80" w:type="dxa"/>
              <w:start w:w="120" w:type="dxa"/>
              <w:end w:w="120" w:type="dxa"/>
            </w:tcMar>
          </w:tcPr>
          <w:p>
            <w:pPr>
              <w:spacing w:before="0" w:after="0" w:line="252" w:lineRule="auto"/>
              <w:jc w:val="center"/>
            </w:pPr>
            <w:r>
              <w:rPr>
                <w:rFonts w:ascii="Calibri" w:hAnsi="Calibri" w:eastAsia="Malgun Gothic"/>
                <w:b w:val="0"/>
                <w:color w:val="172B4D"/>
                <w:sz w:val="18"/>
              </w:rPr>
              <w:t>Bulk point data만으로 불완전</w:t>
            </w:r>
          </w:p>
        </w:tc>
      </w:tr>
    </w:tbl>
    <w:p>
      <w:pPr>
        <w:spacing w:before="0" w:after="80"/>
      </w:pPr>
    </w:p>
    <w:p>
      <w:pPr>
        <w:spacing w:before="0" w:after="120" w:line="264" w:lineRule="auto"/>
      </w:pPr>
      <w:r>
        <w:rPr>
          <w:rFonts w:ascii="Calibri" w:hAnsi="Calibri" w:eastAsia="Malgun Gothic"/>
          <w:color w:val="172B4D"/>
          <w:sz w:val="21"/>
        </w:rPr>
        <w:t>상세 URL, contradiction, confidence, remaining gap은 같은 폴더의 claim-ledger.json에 있다. 공개 코드가 있다는 사실은 대회 데이터에서 성능이 난다는 증거가 아니다.</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CE8E6"/>
            <w:tcMar>
              <w:top w:w="80" w:type="dxa"/>
              <w:bottom w:w="80" w:type="dxa"/>
              <w:start w:w="120" w:type="dxa"/>
              <w:end w:w="120" w:type="dxa"/>
            </w:tcMar>
          </w:tcPr>
          <w:p>
            <w:pPr>
              <w:spacing w:before="40" w:after="40" w:line="259" w:lineRule="auto"/>
            </w:pPr>
            <w:r>
              <w:rPr>
                <w:rFonts w:ascii="Calibri" w:hAnsi="Calibri" w:eastAsia="Malgun Gothic"/>
                <w:b/>
                <w:color w:val="1F4D78"/>
                <w:sz w:val="21"/>
              </w:rPr>
              <w:t xml:space="preserve">8. 운영 규칙 업데이트 — 마감 충돌 발견  </w:t>
            </w:r>
            <w:r>
              <w:rPr>
                <w:rFonts w:ascii="Calibri" w:hAnsi="Calibri" w:eastAsia="Malgun Gothic"/>
                <w:color w:val="172B4D"/>
                <w:sz w:val="20"/>
              </w:rPr>
              <w:t>2026-08-28 공개 공식 홈페이지는 대학부 예선 종료·결과물 제출 마감을 2026-09-30으로 표시한다. 저장소의 9월 7일 메모와 충돌하므로 최종모델 잠금·제출 같은 행동 전 로그인 공지와 문제 상세를 다시 확인해야 한다.</w:t>
            </w:r>
          </w:p>
        </w:tc>
      </w:tr>
    </w:tbl>
    <w:p>
      <w:pPr>
        <w:spacing w:after="8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4EA"/>
            <w:tcMar>
              <w:top w:w="80" w:type="dxa"/>
              <w:bottom w:w="80" w:type="dxa"/>
              <w:start w:w="120" w:type="dxa"/>
              <w:end w:w="120" w:type="dxa"/>
            </w:tcMar>
          </w:tcPr>
          <w:p>
            <w:pPr>
              <w:spacing w:before="40" w:after="40" w:line="259" w:lineRule="auto"/>
            </w:pPr>
            <w:r>
              <w:rPr>
                <w:rFonts w:ascii="Calibri" w:hAnsi="Calibri" w:eastAsia="Malgun Gothic"/>
                <w:b/>
                <w:color w:val="1F4D78"/>
                <w:sz w:val="21"/>
              </w:rPr>
              <w:t xml:space="preserve">9. 최종 판정  </w:t>
            </w:r>
            <w:r>
              <w:rPr>
                <w:rFonts w:ascii="Calibri" w:hAnsi="Calibri" w:eastAsia="Malgun Gothic"/>
                <w:color w:val="172B4D"/>
                <w:sz w:val="20"/>
              </w:rPr>
              <w:t>전체 모델 공간을 완전히 탐색한 것은 아니다. 다만 과거 실패 계열과 겹치지 않고, 1차 근거·공식 코드·현재 컴퓨터에서의 bounded 검증 가능성을 갖춘 세 구조로 수렴했다. 실행 우선순위는 BayOTIDE → TS2Vec → TimeXer다. P2 OAS40 공식 probe는 별도 승인이 필요하다.</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algun Gothic"/>
        <w:color w:val="5F6B7A"/>
        <w:sz w:val="18"/>
      </w:rPr>
      <w:t xml:space="preserve">2026-08-28  |  </w:t>
    </w:r>
    <w:r>
      <w:rPr>
        <w:rFonts w:ascii="Calibri" w:hAnsi="Calibri" w:eastAsia="Malgun Gothic"/>
        <w:color w:val="5F6B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algun Gothic"/>
        <w:color w:val="5F6B7A"/>
        <w:sz w:val="17"/>
      </w:rPr>
      <w:t>분당독고다이 | 새 돌파구 딥리서치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algun Gothic"/>
      <w:color w:val="172B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