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algun Gothic"/>
          <w:b/>
          <w:color w:val="2E74B5"/>
          <w:sz w:val="19"/>
        </w:rPr>
        <w:t>TECHNICAL DECISION BRIEF</w:t>
      </w:r>
    </w:p>
    <w:p>
      <w:pPr>
        <w:spacing w:after="80"/>
      </w:pPr>
      <w:r>
        <w:rPr>
          <w:rFonts w:ascii="Calibri" w:hAnsi="Calibri" w:eastAsia="Malgun Gothic"/>
          <w:b/>
          <w:color w:val="000000"/>
          <w:sz w:val="46"/>
        </w:rPr>
        <w:t>P1·P2·P3 병렬 딥리서치 실행 보고</w:t>
      </w:r>
    </w:p>
    <w:p>
      <w:pPr>
        <w:spacing w:after="280"/>
      </w:pPr>
      <w:r>
        <w:rPr>
          <w:rFonts w:ascii="Calibri" w:hAnsi="Calibri" w:eastAsia="Malgun Gothic"/>
          <w:color w:val="5F6B7A"/>
          <w:sz w:val="25"/>
        </w:rPr>
        <w:t>구조 탐색, bounded local 실행, 독립 QA, 다음 승격 후보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1"/>
        </w:rPr>
        <w:t xml:space="preserve">팀: </w:t>
      </w:r>
      <w:r>
        <w:rPr>
          <w:rFonts w:ascii="Calibri" w:hAnsi="Calibri" w:eastAsia="Malgun Gothic"/>
          <w:color w:val="000000"/>
          <w:sz w:val="21"/>
        </w:rPr>
        <w:t>분당독고다이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1"/>
        </w:rPr>
        <w:t xml:space="preserve">작성일: </w:t>
      </w:r>
      <w:r>
        <w:rPr>
          <w:rFonts w:ascii="Calibri" w:hAnsi="Calibri" w:eastAsia="Malgun Gothic"/>
          <w:color w:val="000000"/>
          <w:sz w:val="21"/>
        </w:rPr>
        <w:t>2026-08-28 KST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1"/>
        </w:rPr>
        <w:t xml:space="preserve">판정 범위: </w:t>
      </w:r>
      <w:r>
        <w:rPr>
          <w:rFonts w:ascii="Calibri" w:hAnsi="Calibri" w:eastAsia="Malgun Gothic"/>
          <w:color w:val="000000"/>
          <w:sz w:val="21"/>
        </w:rPr>
        <w:t>로컬 연구 전용; 공식 test/sample/submission 접근 및 업로드 없음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1"/>
        </w:rPr>
        <w:t xml:space="preserve">상태: </w:t>
      </w:r>
      <w:r>
        <w:rPr>
          <w:rFonts w:ascii="Calibri" w:hAnsi="Calibri" w:eastAsia="Malgun Gothic"/>
          <w:color w:val="000000"/>
          <w:sz w:val="21"/>
        </w:rPr>
        <w:t>세 문제 모두 현재 공식 제출 보류</w:t>
      </w:r>
    </w:p>
    <w:p>
      <w:pPr>
        <w:spacing w:before="140" w:after="180"/>
        <w:pBdr>
          <w:bottom w:val="single" w:sz="10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CE8E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최종 결론  </w:t>
            </w:r>
            <w:r>
              <w:rPr>
                <w:rFonts w:ascii="Calibri" w:hAnsi="Calibri" w:eastAsia="Malgun Gothic"/>
                <w:color w:val="172B4D"/>
                <w:sz w:val="20"/>
              </w:rPr>
              <w:t>이번 사이클에서 즉시 공식 제출할 후보는 없다. 대신 P1은 support, P2는 보정 활성률, P3는 source-transfer와 incumbent 간 간극으로 병목이 분해됐다.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2600"/>
        <w:gridCol w:w="3860"/>
        <w:gridCol w:w="1980"/>
      </w:tblGrid>
      <w:tr>
        <w:trPr>
          <w:tblHeader w:val="true"/>
        </w:trPr>
        <w:tc>
          <w:tcPr>
            <w:tcW w:type="dxa" w:w="9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문제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이번 실험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핵심 결과</w:t>
            </w:r>
          </w:p>
        </w:tc>
        <w:tc>
          <w:tcPr>
            <w:tcW w:type="dxa" w:w="19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공식 판정</w:t>
            </w:r>
          </w:p>
        </w:tc>
      </w:tr>
      <w:tr>
        <w:tc>
          <w:tcPr>
            <w:tcW w:type="dxa" w:w="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조건부 실제-event donor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Support PASS, calibration FAIL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NO_GO</w:t>
            </w:r>
          </w:p>
        </w:tc>
      </w:tr>
      <w:tr>
        <w:tc>
          <w:tcPr>
            <w:tcW w:type="dxa" w:w="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α40 + quasi-periodic residual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Δ -0.0000086°C, 1/3 folds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NO_GO</w:t>
            </w:r>
          </w:p>
        </w:tc>
      </w:tr>
      <w:tr>
        <w:tc>
          <w:tcPr>
            <w:tcW w:type="dxa" w:w="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ERA5 context transfer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Viewpoint PASS, incumbent FAIL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NO_GO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b/>
          <w:color w:val="172B4D"/>
          <w:sz w:val="21"/>
        </w:rPr>
        <w:t xml:space="preserve">판정 원칙. </w:t>
      </w:r>
      <w:r>
        <w:rPr>
          <w:rFonts w:ascii="Calibri" w:hAnsi="Calibri" w:eastAsia="Malgun Gothic"/>
          <w:color w:val="172B4D"/>
          <w:sz w:val="21"/>
        </w:rPr>
        <w:t>공식 33점 스케일과 로컬 물리 단위(°C, m)는 같은 숫자로 비교하지 않는다. 이미 노출된 historical surface는 fresh holdout으로 부르지 않으며, 결과를 보기 전에 구조·분할·gate·prediction hash를 고정했다.</w:t>
      </w:r>
    </w:p>
    <w:p>
      <w:pPr>
        <w:pStyle w:val="Heading1"/>
      </w:pPr>
      <w:r>
        <w:t>1. P1 — support는 해결, proposal 품질이 새 병목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172B4D"/>
          <w:sz w:val="21"/>
        </w:rPr>
        <w:t>pre-Q2 실제 장기 이벤트를 동일 station/layer/quarter 정상 구간에 제한적으로 이식했다. CAROTS의 관계보존/교란 증강과 TimeMIL의 event-level localization을 설계 근거로 사용했지만, P1 성능을 보장한다고 해석하지 않았다.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0"/>
        <w:gridCol w:w="2380"/>
        <w:gridCol w:w="2200"/>
        <w:gridCol w:w="2240"/>
      </w:tblGrid>
      <w:tr>
        <w:trPr>
          <w:tblHeader w:val="true"/>
        </w:trPr>
        <w:tc>
          <w:tcPr>
            <w:tcW w:type="dxa" w:w="25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지표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관측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기준</w:t>
            </w:r>
          </w:p>
        </w:tc>
        <w:tc>
          <w:tcPr>
            <w:tcW w:type="dxa" w:w="22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판정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Train donor support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22 events / 7 cells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≥10 / ≥3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Calibration truth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26 events / 9 cells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≥4 / ≥2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Event recall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10/26 = 38.46%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≥80%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Row precision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22.27%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≥45%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Q2 truth access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0 rows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0 before gate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P1 판정  </w:t>
            </w:r>
            <w:r>
              <w:rPr>
                <w:rFonts w:ascii="Calibri" w:hAnsi="Calibri" w:eastAsia="Malgun Gothic"/>
                <w:color w:val="172B4D"/>
                <w:sz w:val="20"/>
              </w:rPr>
              <w:t>NO_GO_CALIBRATION. 실제 donor가 지원성은 만들었지만 event localization과 정상구간 배제가 부족했다. 다음 한 번은 현재 proposal에 event-level ranker 또는 normality veto를 붙이는 실험이다.</w:t>
            </w:r>
          </w:p>
        </w:tc>
      </w:tr>
    </w:tbl>
    <w:p>
      <w:pPr>
        <w:spacing w:after="80"/>
      </w:pPr>
    </w:p>
    <w:p>
      <w:pPr>
        <w:pStyle w:val="Heading1"/>
      </w:pPr>
      <w:r>
        <w:t>2. P2 — 안전하지만 99.893%가 no-op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172B4D"/>
          <w:sz w:val="21"/>
        </w:rPr>
        <w:t>α40을 유지한 채 quasi-periodic residual과 posterior support gate를 적용했다. 3개 architecture-fresh committed forward fold에서 prediction hash를 truth metric 전에 고정했고, out-of-support는 byte-exact α40으로 복귀했다.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0"/>
        <w:gridCol w:w="2380"/>
        <w:gridCol w:w="2200"/>
        <w:gridCol w:w="2240"/>
      </w:tblGrid>
      <w:tr>
        <w:trPr>
          <w:tblHeader w:val="true"/>
        </w:trPr>
        <w:tc>
          <w:tcPr>
            <w:tcW w:type="dxa" w:w="25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지표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관측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승격 기준</w:t>
            </w:r>
          </w:p>
        </w:tc>
        <w:tc>
          <w:tcPr>
            <w:tcW w:type="dxa" w:w="22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판정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ΔRMSE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-0.000008606°C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≤ -0.003°C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Bootstrap CI90 upper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-0.000002253°C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&lt; 0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개선 folds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1/3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≥2/3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보정 활성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75/69,850 (0.107%)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정보성 필요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Correction RMS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0.006181°C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≤0.05°C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P2 판정  </w:t>
            </w:r>
            <w:r>
              <w:rPr>
                <w:rFonts w:ascii="Calibri" w:hAnsi="Calibri" w:eastAsia="Malgun Gothic"/>
                <w:color w:val="172B4D"/>
                <w:sz w:val="20"/>
              </w:rPr>
              <w:t>FAIL_GATE_STOP_NO_CSV_NO_RESEARCH_LOOP. 같은 GP의 threshold를 결과에 맞춰 완화하지 않는다. 다음은 α40 profile에 1–2개 vertical-displacement mode만 적용하는 물리적으로 다른 보정이다.</w:t>
            </w:r>
          </w:p>
        </w:tc>
      </w:tr>
    </w:tbl>
    <w:p>
      <w:pPr>
        <w:spacing w:after="80"/>
      </w:pPr>
    </w:p>
    <w:p>
      <w:pPr>
        <w:pStyle w:val="Heading2"/>
      </w:pPr>
      <w:r>
        <w:t>P2 다음 bounded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고정 요소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다음 실험 규칙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기준 모델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공식 검증된 α40을 그대로 유지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보정 구조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실제 수심 기울기 × 1–2개 vertical-displacement mode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안전장치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Density stability / endpoint / exact no-op fallback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승격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Δ≤-0.003°C, CI90 upper&lt;0, ≥2/3 folds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b/>
          <w:color w:val="172B4D"/>
          <w:sz w:val="21"/>
        </w:rPr>
        <w:t xml:space="preserve">근거의 경계. </w:t>
      </w:r>
      <w:r>
        <w:rPr>
          <w:rFonts w:ascii="Calibri" w:hAnsi="Calibri" w:eastAsia="Malgun Gothic"/>
          <w:color w:val="172B4D"/>
          <w:sz w:val="21"/>
        </w:rPr>
        <w:t>내부조석 문헌은 density-surface displacement와 two-mode approximation의 물리적 근거를 제공하지만, deep glider/steric-height의 설명분산을 P2 점수 개선량으로 이전하지 않는다.</w:t>
      </w:r>
    </w:p>
    <w:p>
      <w:r>
        <w:br w:type="page"/>
      </w:r>
    </w:p>
    <w:p>
      <w:pPr>
        <w:pStyle w:val="Heading1"/>
      </w:pPr>
      <w:r>
        <w:t>3. P3 — ERA5 transfer 가치는 입증, incumbent 대체는 실패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172B4D"/>
          <w:sz w:val="21"/>
        </w:rPr>
        <w:t>기존 v1은 CatBoost import 전에 fit 0회로 종료됐다. 새 dependency-recovery ID에서는 scientific contract를 유지하고 ID와 output만 분리했다. Python/CatBoost stack, 286-feature hash, NaN smoke, deepcopy와 init_model continuation을 lock 전에 검증했다.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40"/>
        <w:gridCol w:w="2040"/>
        <w:gridCol w:w="2840"/>
        <w:gridCol w:w="1740"/>
      </w:tblGrid>
      <w:tr>
        <w:trPr>
          <w:tblHeader w:val="true"/>
        </w:trPr>
        <w:tc>
          <w:tcPr>
            <w:tcW w:type="dxa" w:w="27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단계/비교</w:t>
            </w:r>
          </w:p>
        </w:tc>
        <w:tc>
          <w:tcPr>
            <w:tcW w:type="dxa" w:w="20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ΔRMSE</w:t>
            </w:r>
          </w:p>
        </w:tc>
        <w:tc>
          <w:tcPr>
            <w:tcW w:type="dxa" w:w="28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강건성</w:t>
            </w:r>
          </w:p>
        </w:tc>
        <w:tc>
          <w:tcPr>
            <w:tcW w:type="dxa" w:w="17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판정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Source vs persistence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-0.140897m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3/3 years, CI90 &lt; 0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Transfer vs local-only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-0.023440m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3/3 windows, CI90 &lt; 0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Transfer vs incumbent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+0.002325m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1/3 windows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S-ORS critical slice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+0.021700m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cap 초과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Lead 24h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-0.024416m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방향성 개선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기록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P3 해석  </w:t>
            </w:r>
            <w:r>
              <w:rPr>
                <w:rFonts w:ascii="Calibri" w:hAnsi="Calibri" w:eastAsia="Malgun Gothic"/>
                <w:color w:val="172B4D"/>
                <w:sz w:val="20"/>
              </w:rPr>
              <w:t>ERA5는 약한 CatBoost local-only 모델을 유의하게 끌어올렸지만 강한 incumbent를 통째로 대체하지 못했다. domain classifier AUC 0.9999999이므로 direct pooling/pretrain-only 사용은 계속 금지한다.</w:t>
            </w:r>
          </w:p>
        </w:tc>
      </w:tr>
    </w:tbl>
    <w:p>
      <w:pPr>
        <w:spacing w:after="80"/>
      </w:pPr>
    </w:p>
    <w:p>
      <w:pPr>
        <w:pStyle w:val="Heading1"/>
      </w:pPr>
      <w:r>
        <w:t>4. 다음 실행 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3860"/>
        <w:gridCol w:w="370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순위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문제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다음 구조</w:t>
            </w:r>
          </w:p>
        </w:tc>
        <w:tc>
          <w:tcPr>
            <w:tcW w:type="dxa" w:w="3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중단 기준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Incumbent-preserving ERA5 residual/router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봉인된 새 구조에서 incumbent 미개선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Two-mode vertical displacement correction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Δ&gt;-0.003°C 또는 &lt;2 folds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3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Event-level ranker / normality veto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Precision&lt;45% 또는 event recall&lt;80%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TimeXer exogenous transfer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Source pilot gate 실패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b/>
          <w:color w:val="172B4D"/>
          <w:sz w:val="21"/>
        </w:rPr>
        <w:t xml:space="preserve">주의. </w:t>
      </w:r>
      <w:r>
        <w:rPr>
          <w:rFonts w:ascii="Calibri" w:hAnsi="Calibri" w:eastAsia="Malgun Gothic"/>
          <w:color w:val="172B4D"/>
          <w:sz w:val="21"/>
        </w:rPr>
        <w:t>P3 router는 이번 local slice를 보고 세운 hypothesis-exposed 가설이다. 따라서 confirmatory local claim을 할 수 없으며, 별도 sealed architecture 또는 제한된 공식 probe가 필요하다.</w:t>
      </w:r>
    </w:p>
    <w:p>
      <w:r>
        <w:br w:type="page"/>
      </w:r>
    </w:p>
    <w:p>
      <w:pPr>
        <w:pStyle w:val="Heading1"/>
      </w:pPr>
      <w:r>
        <w:t>5. 근거 원장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4350"/>
        <w:gridCol w:w="4060"/>
      </w:tblGrid>
      <w:tr>
        <w:trPr>
          <w:tblHeader w:val="true"/>
        </w:trPr>
        <w:tc>
          <w:tcPr>
            <w:tcW w:type="dxa" w:w="9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ID</w:t>
            </w:r>
          </w:p>
        </w:tc>
        <w:tc>
          <w:tcPr>
            <w:tcW w:type="dxa" w:w="4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1차 출처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이번 연구에서의 용도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P1-1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Kim et al., CAROTS, ICML 2025 (PMLR)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관계보존/교란 증강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P1-2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Chen et al., TimeMIL, ICML 2024 (PMLR)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Sparse temporal localization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P2-1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Chen et al., Frontiers in Marine Science 2023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Joint T/S GPR와 uncertainty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P2-2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Bendinger et al., Ocean Science 2024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Internal-tide two-mode displacement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P3-1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ECMWF/Copernicus ERA5 documentation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31km atmosphere / 0.36° wave grid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P3-2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CatBoost official GPU documentation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GPU 비결정성, CPU 선택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P3-3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Wang et al., TimeXer, NeurIPS 2024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Exogenous cross-attention 후보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color w:val="172B4D"/>
          <w:sz w:val="21"/>
        </w:rPr>
        <w:t>상세 URL, 주장별 confidence와 limitation은 같은 폴더의 claim-ledger.json에 있다. P1/P2 문헌의 수치 개선을 해커톤 점수로 직접 이전하지 않았고, P3 source 성공을 local incumbent 승리로 과장하지 않았다.</w:t>
      </w:r>
    </w:p>
    <w:p>
      <w:pPr>
        <w:pStyle w:val="Heading1"/>
      </w:pPr>
      <w:r>
        <w:t>6. 무결성 및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80"/>
        <w:gridCol w:w="6980"/>
      </w:tblGrid>
      <w:tr>
        <w:trPr>
          <w:tblHeader w:val="true"/>
        </w:trPr>
        <w:tc>
          <w:tcPr>
            <w:tcW w:type="dxa" w:w="23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산출물</w:t>
            </w:r>
          </w:p>
        </w:tc>
        <w:tc>
          <w:tcPr>
            <w:tcW w:type="dxa" w:w="69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SHA-256</w:t>
            </w:r>
          </w:p>
        </w:tc>
      </w:tr>
      <w:t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 result.json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b32fc6df07b30d315d1d3b09add4455686660ea69ba3b10134ac7f4e0a8c58f4</w:t>
            </w:r>
          </w:p>
        </w:tc>
      </w:tr>
      <w:t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 result.json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c04755750357b8613f7372f98840ba8f8df365173af46524b4be339ee362da2e</w:t>
            </w:r>
          </w:p>
        </w:tc>
      </w:tr>
      <w:t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 result.json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ac92a530d230ea29c475e0b03acb7e16d577633b64401632cebb46fa4e0bbd2f</w:t>
            </w:r>
          </w:p>
        </w:tc>
      </w:tr>
      <w:t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 blind seal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25accc81915e95bebcf4e69cd313b73520c36969b88521a186f5be214c4ba2a7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독립 QA  </w:t>
            </w:r>
            <w:r>
              <w:rPr>
                <w:rFonts w:ascii="Calibri" w:hAnsi="Calibri" w:eastAsia="Malgun Gothic"/>
                <w:color w:val="172B4D"/>
                <w:sz w:val="20"/>
              </w:rPr>
              <w:t>16/16 cross-problem checks PASS, 관련 pytest 42건 PASS. P3 blind seal은 1,086행이며 target_hs column이 없고, 세 문제 모두 후보 CSV 생성·공식 업로드가 없다.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5F6B7A"/>
        <w:sz w:val="18"/>
      </w:rPr>
      <w:t xml:space="preserve">2026-08-28  |  </w:t>
    </w:r>
    <w:r>
      <w:rPr>
        <w:rFonts w:ascii="Calibri" w:hAnsi="Calibri" w:eastAsia="Malgun Gothic"/>
        <w:color w:val="5F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algun Gothic"/>
        <w:color w:val="5F6B7A"/>
        <w:sz w:val="17"/>
      </w:rPr>
      <w:t>분당독고다이 | 병렬 딥리서치 실행 보고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