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</w:pPr>
      <w:r>
        <w:rPr>
          <w:rFonts w:ascii="Arial" w:hAnsi="Arial" w:eastAsia="Malgun Gothic"/>
          <w:b/>
          <w:i w:val="0"/>
          <w:color w:val="12304A"/>
          <w:sz w:val="44"/>
        </w:rPr>
        <w:t>DECISION MEMO</w:t>
      </w:r>
    </w:p>
    <w:p>
      <w:pPr>
        <w:spacing w:before="0" w:after="180" w:line="259" w:lineRule="auto"/>
      </w:pPr>
      <w:r>
        <w:rPr>
          <w:rFonts w:ascii="Arial" w:hAnsi="Arial" w:eastAsia="Malgun Gothic"/>
          <w:b/>
          <w:i w:val="0"/>
          <w:color w:val="12304A"/>
          <w:sz w:val="30"/>
        </w:rPr>
        <w:t>다음 제출기회를 값지게 쓰는 P2·P3 딥리서치</w:t>
      </w:r>
    </w:p>
    <w:p>
      <w:pPr>
        <w:spacing w:before="0" w:after="40" w:line="259" w:lineRule="auto"/>
      </w:pPr>
      <w:r>
        <w:rPr>
          <w:rFonts w:ascii="Arial" w:hAnsi="Arial" w:eastAsia="Malgun Gothic"/>
          <w:b/>
          <w:color w:val="111111"/>
          <w:sz w:val="21"/>
        </w:rPr>
        <w:t xml:space="preserve">팀: </w:t>
      </w:r>
      <w:r>
        <w:rPr>
          <w:rFonts w:ascii="Arial" w:hAnsi="Arial" w:eastAsia="Malgun Gothic"/>
          <w:b w:val="0"/>
          <w:color w:val="111111"/>
          <w:sz w:val="21"/>
        </w:rPr>
        <w:t>분당독고다이</w:t>
      </w:r>
    </w:p>
    <w:p>
      <w:pPr>
        <w:spacing w:before="0" w:after="40" w:line="259" w:lineRule="auto"/>
      </w:pPr>
      <w:r>
        <w:rPr>
          <w:rFonts w:ascii="Arial" w:hAnsi="Arial" w:eastAsia="Malgun Gothic"/>
          <w:b/>
          <w:color w:val="111111"/>
          <w:sz w:val="21"/>
        </w:rPr>
        <w:t xml:space="preserve">기준: </w:t>
      </w:r>
      <w:r>
        <w:rPr>
          <w:rFonts w:ascii="Arial" w:hAnsi="Arial" w:eastAsia="Malgun Gothic"/>
          <w:b w:val="0"/>
          <w:color w:val="111111"/>
          <w:sz w:val="21"/>
        </w:rPr>
        <w:t>2026-08-27 KST</w:t>
      </w:r>
    </w:p>
    <w:p>
      <w:pPr>
        <w:spacing w:before="0" w:after="40" w:line="259" w:lineRule="auto"/>
      </w:pPr>
      <w:r>
        <w:rPr>
          <w:rFonts w:ascii="Arial" w:hAnsi="Arial" w:eastAsia="Malgun Gothic"/>
          <w:b/>
          <w:color w:val="111111"/>
          <w:sz w:val="21"/>
        </w:rPr>
        <w:t xml:space="preserve">상태: </w:t>
      </w:r>
      <w:r>
        <w:rPr>
          <w:rFonts w:ascii="Arial" w:hAnsi="Arial" w:eastAsia="Malgun Gothic"/>
          <w:b w:val="0"/>
          <w:color w:val="111111"/>
          <w:sz w:val="21"/>
        </w:rPr>
        <w:t>문헌·계보 추적 및 신규 로컬 반증 실험 완료 / 공식 업로드 미수행</w:t>
      </w:r>
    </w:p>
    <w:p>
      <w:pPr>
        <w:spacing w:before="0" w:after="40" w:line="259" w:lineRule="auto"/>
      </w:pPr>
      <w:r>
        <w:rPr>
          <w:rFonts w:ascii="Arial" w:hAnsi="Arial" w:eastAsia="Malgun Gothic"/>
          <w:b/>
          <w:color w:val="111111"/>
          <w:sz w:val="21"/>
        </w:rPr>
        <w:t xml:space="preserve">결정: </w:t>
      </w:r>
      <w:r>
        <w:rPr>
          <w:rFonts w:ascii="Arial" w:hAnsi="Arial" w:eastAsia="Malgun Gothic"/>
          <w:b w:val="0"/>
          <w:color w:val="111111"/>
          <w:sz w:val="21"/>
        </w:rPr>
        <w:t>P2 구조 probe 1장 우선, P3 같은 축 추가 미세조정 보류</w:t>
      </w:r>
    </w:p>
    <w:p>
      <w:pPr>
        <w:spacing w:before="0" w:after="40" w:line="259" w:lineRule="auto"/>
      </w:pPr>
      <w:r>
        <w:rPr>
          <w:rFonts w:ascii="Arial" w:hAnsi="Arial" w:eastAsia="Malgun Gothic"/>
          <w:b w:val="0"/>
          <w:i w:val="0"/>
          <w:color w:val="111111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7F2EC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after="30" w:before="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20"/>
              </w:rPr>
              <w:t>결론부터</w:t>
            </w:r>
          </w:p>
          <w:p>
            <w:pPr>
              <w:spacing w:after="30" w:line="240" w:lineRule="auto" w:before="0"/>
            </w:pPr>
            <w:r>
              <w:rPr>
                <w:rFonts w:ascii="Arial" w:hAnsi="Arial" w:eastAsia="Malgun Gothic"/>
                <w:b w:val="0"/>
                <w:color w:val="111111"/>
                <w:sz w:val="20"/>
              </w:rPr>
              <w:t>다음 한 장의 1순위는 P2-SEASONAL-OAS-TS-10-PROJECTED입니다. 현재 P2 최고본 U를 90% 보존하고, 같은 시각 공개층의 수직 T/S 공분산 복원을 10%만 섞은 뒤 기존 물리 투영을 적용합니다. 로컬 총 RMSE는 −0.007782℃, 투영 후 −0.008060℃ 개선됐지만 한 블록은 악화했으므로 ‘배포 확정’이 아니라 사전 등록된 공식 구조 probe입니다.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 w:eastAsia="Malgun Gothic"/>
          <w:b w:val="0"/>
          <w:i w:val="0"/>
          <w:color w:val="111111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1200"/>
        <w:gridCol w:w="2900"/>
        <w:gridCol w:w="1800"/>
        <w:gridCol w:w="3460"/>
      </w:tblGrid>
      <w:tr>
        <w:trPr>
          <w:tblHeader w:val="true"/>
        </w:trPr>
        <w:tc>
          <w:tcPr>
            <w:tcW w:type="dxa" w:w="12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8F0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문제</w:t>
            </w:r>
          </w:p>
        </w:tc>
        <w:tc>
          <w:tcPr>
            <w:tcW w:type="dxa" w:w="2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8F0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현재 공식 최고</w:t>
            </w:r>
          </w:p>
        </w:tc>
        <w:tc>
          <w:tcPr>
            <w:tcW w:type="dxa" w:w="1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8F0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관측 headroom</w:t>
            </w:r>
          </w:p>
        </w:tc>
        <w:tc>
          <w:tcPr>
            <w:tcW w:type="dxa" w:w="34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8F0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다음 슬롯</w:t>
            </w:r>
          </w:p>
        </w:tc>
      </w:tr>
      <w:tr>
        <w:tc>
          <w:tcPr>
            <w:tcW w:type="dxa" w:w="12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2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26.611283점 / 0.535727℃</w:t>
            </w:r>
          </w:p>
        </w:tc>
        <w:tc>
          <w:tcPr>
            <w:tcW w:type="dxa" w:w="1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약 +1.991점</w:t>
            </w:r>
          </w:p>
        </w:tc>
        <w:tc>
          <w:tcPr>
            <w:tcW w:type="dxa" w:w="34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OAS 구조 probe 1순위</w:t>
            </w:r>
          </w:p>
        </w:tc>
      </w:tr>
      <w:tr>
        <w:tc>
          <w:tcPr>
            <w:tcW w:type="dxa" w:w="12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P3</w:t>
            </w:r>
          </w:p>
        </w:tc>
        <w:tc>
          <w:tcPr>
            <w:tcW w:type="dxa" w:w="2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24.066167점 / 0.583892m</w:t>
            </w:r>
          </w:p>
        </w:tc>
        <w:tc>
          <w:tcPr>
            <w:tcW w:type="dxa" w:w="1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약 +0.099점</w:t>
            </w:r>
          </w:p>
        </w:tc>
        <w:tc>
          <w:tcPr>
            <w:tcW w:type="dxa" w:w="34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ERA5 또는 새 구조까지 보류</w:t>
            </w:r>
          </w:p>
        </w:tc>
      </w:tr>
    </w:tbl>
    <w:p>
      <w:pPr>
        <w:pStyle w:val="TableSource"/>
      </w:pPr>
      <w:r>
        <w:t>공식 상태: finite_horizon_submission_decision_20260827_v1 receipt. P3는 공개축 이차최적점에서 이미 +0.240938점 개선.</w:t>
      </w:r>
    </w:p>
    <w:p>
      <w:pPr>
        <w:pStyle w:val="Heading1"/>
      </w:pPr>
      <w:r>
        <w:t>1. 왜 P2인가</w:t>
      </w:r>
    </w:p>
    <w:p>
      <w:pPr>
        <w:spacing w:before="0" w:after="100" w:line="259" w:lineRule="auto"/>
      </w:pPr>
      <w:r>
        <w:rPr>
          <w:rFonts w:ascii="Arial" w:hAnsi="Arial" w:eastAsia="Malgun Gothic"/>
          <w:b w:val="0"/>
          <w:i w:val="0"/>
          <w:color w:val="111111"/>
          <w:sz w:val="21"/>
        </w:rPr>
        <w:t>P2는 61일 동안 2·3·4층의 T/S를 복원하지만 같은 시각의 1·5·6·7층 T/S는 공개된다. 기존 최고 계보는 긴 시계열·다중 deep expert와 층별 공식축 후처리를 이미 사용한다. 이전 full-mask BiTCN, CSDI/SSSD형, 연주기 anomaly transfer, 조석/RTS residual이 탈락했으므로 더 긴 창이나 더 큰 모델만 추가하는 것은 새로운 가설이 아니다.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8F0F7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after="30" w:before="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20"/>
              </w:rPr>
              <w:t>새 오류공간</w:t>
            </w:r>
          </w:p>
          <w:p>
            <w:pPr>
              <w:spacing w:after="30" w:line="240" w:lineRule="auto" w:before="0"/>
            </w:pPr>
            <w:r>
              <w:rPr>
                <w:rFonts w:ascii="Arial" w:hAnsi="Arial" w:eastAsia="Malgun Gothic"/>
                <w:b w:val="0"/>
                <w:color w:val="111111"/>
                <w:sz w:val="20"/>
              </w:rPr>
              <w:t>시간 방향 외삽이 아니라 같은 시각 수직 프로파일의 T/S 교차 공분산을 직접 조건부 복원합니다. 기존 모델이 놓친 작은 수직 구조만 10% 더하므로 현재 최고본을 크게 훼손하지 않습니다.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 w:eastAsia="Malgun Gothic"/>
          <w:b w:val="0"/>
          <w:i w:val="0"/>
          <w:color w:val="111111"/>
          <w:sz w:val="21"/>
        </w:rPr>
      </w:r>
    </w:p>
    <w:p>
      <w:pPr>
        <w:spacing w:before="0" w:after="100" w:line="259" w:lineRule="auto"/>
      </w:pPr>
      <w:r>
        <w:rPr>
          <w:rFonts w:ascii="Arial" w:hAnsi="Arial" w:eastAsia="Malgun Gothic"/>
          <w:b w:val="0"/>
          <w:i w:val="0"/>
          <w:color w:val="111111"/>
          <w:sz w:val="21"/>
        </w:rPr>
        <w:t>Conditional multivariate FPCA 연구는 부분 관측된 다변량 프로파일에서 교차 공분산으로 잠재 score를 조건부 추정하는 원리를 제시한다. 우리 실험은 그 효과 크기를 전이하지 않고, 동일한 조건부 선형 복원 원리만 OAS shrinkage로 구현했다.</w:t>
      </w:r>
    </w:p>
    <w:p>
      <w:pPr>
        <w:pStyle w:val="TableSource"/>
      </w:pPr>
      <w:r>
        <w:t>Primary source: https://arxiv.org/html/2608.05376v1 (2026 arXiv preprint; domain transfer caveat applies).</w:t>
      </w:r>
    </w:p>
    <w:p>
      <w:pPr>
        <w:pStyle w:val="Heading1"/>
      </w:pPr>
      <w:r>
        <w:t>2. 반증을 먼저 통과시켰다</w:t>
      </w:r>
    </w:p>
    <w:p>
      <w:pPr>
        <w:pStyle w:val="Heading2"/>
      </w:pPr>
      <w:r>
        <w:t>2.1 경계 정합 전년 프로파일 — 기각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2350"/>
        <w:gridCol w:w="1700"/>
        <w:gridCol w:w="1700"/>
        <w:gridCol w:w="1700"/>
        <w:gridCol w:w="1910"/>
      </w:tblGrid>
      <w:tr>
        <w:trPr>
          <w:tblHeader w:val="true"/>
        </w:trPr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FBE9E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노출 블록</w:t>
            </w:r>
          </w:p>
        </w:tc>
        <w:tc>
          <w:tcPr>
            <w:tcW w:type="dxa" w:w="1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FBE9E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reference</w:t>
            </w:r>
          </w:p>
        </w:tc>
        <w:tc>
          <w:tcPr>
            <w:tcW w:type="dxa" w:w="1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FBE9E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후보</w:t>
            </w:r>
          </w:p>
        </w:tc>
        <w:tc>
          <w:tcPr>
            <w:tcW w:type="dxa" w:w="1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FBE9E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10% 혼합</w:t>
            </w:r>
          </w:p>
        </w:tc>
        <w:tc>
          <w:tcPr>
            <w:tcW w:type="dxa" w:w="191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FBE9E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판정</w:t>
            </w:r>
          </w:p>
        </w:tc>
      </w:tr>
      <w:tr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2025 May–Jun</w:t>
            </w:r>
          </w:p>
        </w:tc>
        <w:tc>
          <w:tcPr>
            <w:tcW w:type="dxa" w:w="1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1.286492</w:t>
            </w:r>
          </w:p>
        </w:tc>
        <w:tc>
          <w:tcPr>
            <w:tcW w:type="dxa" w:w="1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1.824135</w:t>
            </w:r>
          </w:p>
        </w:tc>
        <w:tc>
          <w:tcPr>
            <w:tcW w:type="dxa" w:w="1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1.298818</w:t>
            </w:r>
          </w:p>
        </w:tc>
        <w:tc>
          <w:tcPr>
            <w:tcW w:type="dxa" w:w="191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악화</w:t>
            </w:r>
          </w:p>
        </w:tc>
      </w:tr>
      <w:tr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2025 Jul–Aug</w:t>
            </w:r>
          </w:p>
        </w:tc>
        <w:tc>
          <w:tcPr>
            <w:tcW w:type="dxa" w:w="1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1.103796</w:t>
            </w:r>
          </w:p>
        </w:tc>
        <w:tc>
          <w:tcPr>
            <w:tcW w:type="dxa" w:w="1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4.924675</w:t>
            </w:r>
          </w:p>
        </w:tc>
        <w:tc>
          <w:tcPr>
            <w:tcW w:type="dxa" w:w="1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1.274677</w:t>
            </w:r>
          </w:p>
        </w:tc>
        <w:tc>
          <w:tcPr>
            <w:tcW w:type="dxa" w:w="191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큰 악화</w:t>
            </w:r>
          </w:p>
        </w:tc>
      </w:tr>
    </w:tbl>
    <w:p>
      <w:pPr>
        <w:pStyle w:val="TableSource"/>
      </w:pPr>
      <w:r>
        <w:t>artifacts/p2_boundary_registered_prior_20260827_v1/result.json. 두 블록의 oracle α도 음수.</w:t>
      </w:r>
    </w:p>
    <w:p>
      <w:pPr>
        <w:spacing w:before="0" w:after="100" w:line="259" w:lineRule="auto"/>
      </w:pPr>
      <w:r>
        <w:rPr>
          <w:rFonts w:ascii="Arial" w:hAnsi="Arial" w:eastAsia="Malgun Gothic"/>
          <w:b w:val="0"/>
          <w:i w:val="0"/>
          <w:color w:val="111111"/>
          <w:sz w:val="21"/>
        </w:rPr>
        <w:t>이전 해의 같은 계절 프로파일을 공개층과 양쪽 7일 경계에 등록해도 계절 상태 전이와 깊은 층 편향을 견디지 못했다. 공식 제출 후보에서 제외한다.</w:t>
      </w:r>
    </w:p>
    <w:p>
      <w:pPr>
        <w:pStyle w:val="Heading2"/>
      </w:pPr>
      <w:r>
        <w:t>2.2 계절 국소 OAS 프로파일 — 제한적 통과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2300"/>
        <w:gridCol w:w="1650"/>
        <w:gridCol w:w="1650"/>
        <w:gridCol w:w="1700"/>
        <w:gridCol w:w="2060"/>
      </w:tblGrid>
      <w:tr>
        <w:trPr>
          <w:tblHeader w:val="true"/>
        </w:trPr>
        <w:tc>
          <w:tcPr>
            <w:tcW w:type="dxa" w:w="2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7F2EC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노출 블록</w:t>
            </w:r>
          </w:p>
        </w:tc>
        <w:tc>
          <w:tcPr>
            <w:tcW w:type="dxa" w:w="1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7F2EC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reference</w:t>
            </w:r>
          </w:p>
        </w:tc>
        <w:tc>
          <w:tcPr>
            <w:tcW w:type="dxa" w:w="1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7F2EC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OAS 단독</w:t>
            </w:r>
          </w:p>
        </w:tc>
        <w:tc>
          <w:tcPr>
            <w:tcW w:type="dxa" w:w="1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7F2EC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10% 혼합</w:t>
            </w:r>
          </w:p>
        </w:tc>
        <w:tc>
          <w:tcPr>
            <w:tcW w:type="dxa" w:w="20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7F2EC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ΔRMSE</w:t>
            </w:r>
          </w:p>
        </w:tc>
      </w:tr>
      <w:tr>
        <w:tc>
          <w:tcPr>
            <w:tcW w:type="dxa" w:w="2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2024 Sep–Oct</w:t>
            </w:r>
          </w:p>
        </w:tc>
        <w:tc>
          <w:tcPr>
            <w:tcW w:type="dxa" w:w="1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0.447793</w:t>
            </w:r>
          </w:p>
        </w:tc>
        <w:tc>
          <w:tcPr>
            <w:tcW w:type="dxa" w:w="1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0.746001</w:t>
            </w:r>
          </w:p>
        </w:tc>
        <w:tc>
          <w:tcPr>
            <w:tcW w:type="dxa" w:w="1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0.433021</w:t>
            </w:r>
          </w:p>
        </w:tc>
        <w:tc>
          <w:tcPr>
            <w:tcW w:type="dxa" w:w="20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−0.014772</w:t>
            </w:r>
          </w:p>
        </w:tc>
      </w:tr>
      <w:tr>
        <w:tc>
          <w:tcPr>
            <w:tcW w:type="dxa" w:w="2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2025 Jul–Aug</w:t>
            </w:r>
          </w:p>
        </w:tc>
        <w:tc>
          <w:tcPr>
            <w:tcW w:type="dxa" w:w="1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1.053477</w:t>
            </w:r>
          </w:p>
        </w:tc>
        <w:tc>
          <w:tcPr>
            <w:tcW w:type="dxa" w:w="1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1.341220</w:t>
            </w:r>
          </w:p>
        </w:tc>
        <w:tc>
          <w:tcPr>
            <w:tcW w:type="dxa" w:w="1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1.066635</w:t>
            </w:r>
          </w:p>
        </w:tc>
        <w:tc>
          <w:tcPr>
            <w:tcW w:type="dxa" w:w="20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+0.013157</w:t>
            </w:r>
          </w:p>
        </w:tc>
      </w:tr>
      <w:tr>
        <w:tc>
          <w:tcPr>
            <w:tcW w:type="dxa" w:w="2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2025 Nov–Dec</w:t>
            </w:r>
          </w:p>
        </w:tc>
        <w:tc>
          <w:tcPr>
            <w:tcW w:type="dxa" w:w="1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0.613081</w:t>
            </w:r>
          </w:p>
        </w:tc>
        <w:tc>
          <w:tcPr>
            <w:tcW w:type="dxa" w:w="1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0.252229</w:t>
            </w:r>
          </w:p>
        </w:tc>
        <w:tc>
          <w:tcPr>
            <w:tcW w:type="dxa" w:w="1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0.550264</w:t>
            </w:r>
          </w:p>
        </w:tc>
        <w:tc>
          <w:tcPr>
            <w:tcW w:type="dxa" w:w="20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−0.062817</w:t>
            </w:r>
          </w:p>
        </w:tc>
      </w:tr>
      <w:tr>
        <w:tc>
          <w:tcPr>
            <w:tcW w:type="dxa" w:w="2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전체</w:t>
            </w:r>
          </w:p>
        </w:tc>
        <w:tc>
          <w:tcPr>
            <w:tcW w:type="dxa" w:w="1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0.768367</w:t>
            </w:r>
          </w:p>
        </w:tc>
        <w:tc>
          <w:tcPr>
            <w:tcW w:type="dxa" w:w="1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1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0.760586</w:t>
            </w:r>
          </w:p>
        </w:tc>
        <w:tc>
          <w:tcPr>
            <w:tcW w:type="dxa" w:w="20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−0.007782</w:t>
            </w:r>
          </w:p>
        </w:tc>
      </w:tr>
    </w:tbl>
    <w:p>
      <w:pPr>
        <w:pStyle w:val="TableSource"/>
      </w:pPr>
      <w:r>
        <w:t>artifacts/p2_oas_conditional_profile_20260827_v3/result.json; 총 69,850행.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2700"/>
        <w:gridCol w:w="3000"/>
        <w:gridCol w:w="3660"/>
      </w:tblGrid>
      <w:tr>
        <w:trPr>
          <w:tblHeader w:val="true"/>
        </w:trPr>
        <w:tc>
          <w:tcPr>
            <w:tcW w:type="dxa" w:w="2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FFF3D6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추가 증거</w:t>
            </w:r>
          </w:p>
        </w:tc>
        <w:tc>
          <w:tcPr>
            <w:tcW w:type="dxa" w:w="30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FFF3D6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결과</w:t>
            </w:r>
          </w:p>
        </w:tc>
        <w:tc>
          <w:tcPr>
            <w:tcW w:type="dxa" w:w="36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FFF3D6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해석</w:t>
            </w:r>
          </w:p>
        </w:tc>
      </w:tr>
      <w:tr>
        <w:tc>
          <w:tcPr>
            <w:tcW w:type="dxa" w:w="2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물리 투영 후</w:t>
            </w:r>
          </w:p>
        </w:tc>
        <w:tc>
          <w:tcPr>
            <w:tcW w:type="dxa" w:w="30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0.760308 / Δ −0.008060℃</w:t>
            </w:r>
          </w:p>
        </w:tc>
        <w:tc>
          <w:tcPr>
            <w:tcW w:type="dxa" w:w="36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투영 11,062행(15.84%) 작동</w:t>
            </w:r>
          </w:p>
        </w:tc>
      </w:tr>
      <w:tr>
        <w:tc>
          <w:tcPr>
            <w:tcW w:type="dxa" w:w="2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KST-day bootstrap</w:t>
            </w:r>
          </w:p>
        </w:tc>
        <w:tc>
          <w:tcPr>
            <w:tcW w:type="dxa" w:w="30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90% CI [−0.012785, −0.003176]</w:t>
            </w:r>
          </w:p>
        </w:tc>
        <w:tc>
          <w:tcPr>
            <w:tcW w:type="dxa" w:w="36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5,000회; 개선 확률 99.92%</w:t>
            </w:r>
          </w:p>
        </w:tc>
      </w:tr>
      <w:tr>
        <w:tc>
          <w:tcPr>
            <w:tcW w:type="dxa" w:w="2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같은 계절 2024 Sep–Oct</w:t>
            </w:r>
          </w:p>
        </w:tc>
        <w:tc>
          <w:tcPr>
            <w:tcW w:type="dxa" w:w="30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9주·L2/L3/L4 모두 개선</w:t>
            </w:r>
          </w:p>
        </w:tc>
        <w:tc>
          <w:tcPr>
            <w:tcW w:type="dxa" w:w="36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공식 gap과 계절 정합</w:t>
            </w:r>
          </w:p>
        </w:tc>
      </w:tr>
      <w:tr>
        <w:tc>
          <w:tcPr>
            <w:tcW w:type="dxa" w:w="27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반증</w:t>
            </w:r>
          </w:p>
        </w:tc>
        <w:tc>
          <w:tcPr>
            <w:tcW w:type="dxa" w:w="30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2025 Jul–Aug 악화</w:t>
            </w:r>
          </w:p>
        </w:tc>
        <w:tc>
          <w:tcPr>
            <w:tcW w:type="dxa" w:w="36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regime shift 위험 보존</w:t>
            </w:r>
          </w:p>
        </w:tc>
      </w:tr>
    </w:tbl>
    <w:p>
      <w:pPr>
        <w:pStyle w:val="Heading1"/>
      </w:pPr>
      <w:r>
        <w:t>3. 사전 등록 후보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7F2EC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after="30" w:before="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20"/>
              </w:rPr>
              <w:t>P2-SEASONAL-OAS-TS-10-PROJECTED</w:t>
            </w:r>
          </w:p>
          <w:p>
            <w:pPr>
              <w:spacing w:after="30" w:line="240" w:lineRule="auto" w:before="0"/>
            </w:pPr>
            <w:r>
              <w:rPr>
                <w:rFonts w:ascii="Arial" w:hAnsi="Arial" w:eastAsia="Malgun Gothic"/>
                <w:b w:val="0"/>
                <w:color w:val="111111"/>
                <w:sz w:val="20"/>
              </w:rPr>
              <w:t>최종 예측 = ProfileProjection(0.90 × current P2 U + 0.10 × seasonal local OAS conditional profile). α=0.10은 고정하며 공식 결과를 본 뒤 같은 날 재탐색하지 않습니다.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 w:eastAsia="Malgun Gothic"/>
          <w:b w:val="0"/>
          <w:i w:val="0"/>
          <w:color w:val="111111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F2F4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항목</w:t>
            </w:r>
          </w:p>
        </w:tc>
        <w:tc>
          <w:tcPr>
            <w:tcW w:type="dxa" w:w="67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F2F4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고정 사양</w:t>
            </w:r>
          </w:p>
        </w:tc>
      </w:tr>
      <w:tr>
        <w:tc>
          <w:tcPr>
            <w:tcW w:type="dxa" w:w="26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season partition</w:t>
            </w:r>
          </w:p>
        </w:tc>
        <w:tc>
          <w:tcPr>
            <w:tcW w:type="dxa" w:w="67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14일 bin, 원형 day-of-year ±60일</w:t>
            </w:r>
          </w:p>
        </w:tc>
      </w:tr>
      <w:tr>
        <w:tc>
          <w:tcPr>
            <w:tcW w:type="dxa" w:w="26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공개 입력 X</w:t>
            </w:r>
          </w:p>
        </w:tc>
        <w:tc>
          <w:tcPr>
            <w:tcW w:type="dxa" w:w="67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T/S 1·5·6·7층 + 연주기 sin/cos 1~4차</w:t>
            </w:r>
          </w:p>
        </w:tc>
      </w:tr>
      <w:tr>
        <w:tc>
          <w:tcPr>
            <w:tcW w:type="dxa" w:w="26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출력 Y</w:t>
            </w:r>
          </w:p>
        </w:tc>
        <w:tc>
          <w:tcPr>
            <w:tcW w:type="dxa" w:w="67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T/S 2·3·4층 joint profile</w:t>
            </w:r>
          </w:p>
        </w:tc>
      </w:tr>
      <w:tr>
        <w:tc>
          <w:tcPr>
            <w:tcW w:type="dxa" w:w="26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추정</w:t>
            </w:r>
          </w:p>
        </w:tc>
        <w:tc>
          <w:tcPr>
            <w:tcW w:type="dxa" w:w="67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OAS shrinkage covariance, 행별 관측 X 부분집합 조건부 평균</w:t>
            </w:r>
          </w:p>
        </w:tc>
      </w:tr>
      <w:tr>
        <w:tc>
          <w:tcPr>
            <w:tcW w:type="dxa" w:w="26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누수 금지</w:t>
            </w:r>
          </w:p>
        </w:tc>
        <w:tc>
          <w:tcPr>
            <w:tcW w:type="dxa" w:w="67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공식 gap의 은닉층 label은 적합에 사용하지 않음</w:t>
            </w:r>
          </w:p>
        </w:tc>
      </w:tr>
      <w:tr>
        <w:tc>
          <w:tcPr>
            <w:tcW w:type="dxa" w:w="26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후처리</w:t>
            </w:r>
          </w:p>
        </w:tc>
        <w:tc>
          <w:tcPr>
            <w:tcW w:type="dxa" w:w="67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기존 endpoint/PAVA profile projection 정확히 1회</w:t>
            </w:r>
          </w:p>
        </w:tc>
      </w:tr>
    </w:tbl>
    <w:p>
      <w:pPr>
        <w:pStyle w:val="Heading1"/>
      </w:pPr>
      <w:r>
        <w:t>4. 제출 전 승격 게이트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1500"/>
        <w:gridCol w:w="5900"/>
        <w:gridCol w:w="1960"/>
      </w:tblGrid>
      <w:tr>
        <w:trPr>
          <w:tblHeader w:val="true"/>
        </w:trPr>
        <w:tc>
          <w:tcPr>
            <w:tcW w:type="dxa" w:w="1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8F0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단계</w:t>
            </w:r>
          </w:p>
        </w:tc>
        <w:tc>
          <w:tcPr>
            <w:tcW w:type="dxa" w:w="5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8F0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통과 조건</w:t>
            </w:r>
          </w:p>
        </w:tc>
        <w:tc>
          <w:tcPr>
            <w:tcW w:type="dxa" w:w="19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8F0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실패 시</w:t>
            </w:r>
          </w:p>
        </w:tc>
      </w:tr>
      <w:tr>
        <w:tc>
          <w:tcPr>
            <w:tcW w:type="dxa" w:w="1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P0 무결성</w:t>
            </w:r>
          </w:p>
        </w:tc>
        <w:tc>
          <w:tcPr>
            <w:tcW w:type="dxa" w:w="5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26,061 exact keys/order; finite/range; gap label 미사용; hash·환경 receipt; 재실행 일치</w:t>
            </w:r>
          </w:p>
        </w:tc>
        <w:tc>
          <w:tcPr>
            <w:tcW w:type="dxa" w:w="19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NO-GO</w:t>
            </w:r>
          </w:p>
        </w:tc>
      </w:tr>
      <w:tr>
        <w:tc>
          <w:tcPr>
            <w:tcW w:type="dxa" w:w="1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P1 로컬</w:t>
            </w:r>
          </w:p>
        </w:tc>
        <w:tc>
          <w:tcPr>
            <w:tcW w:type="dxa" w:w="5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총 projected Δ≤−0.0075℃ 재현; 같은 계절 3층·9주 개선; bootstrap 상한&lt;0; U 대비 차이 RMS≥0.02℃</w:t>
            </w:r>
          </w:p>
        </w:tc>
        <w:tc>
          <w:tcPr>
            <w:tcW w:type="dxa" w:w="19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NO-GO 또는 원인 감사</w:t>
            </w:r>
          </w:p>
        </w:tc>
      </w:tr>
      <w:tr>
        <w:tc>
          <w:tcPr>
            <w:tcW w:type="dxa" w:w="1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P2 공식</w:t>
            </w:r>
          </w:p>
        </w:tc>
        <w:tc>
          <w:tcPr>
            <w:tcW w:type="dxa" w:w="5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한 장만 제출하고 사전 결정표대로 판독</w:t>
            </w:r>
          </w:p>
        </w:tc>
        <w:tc>
          <w:tcPr>
            <w:tcW w:type="dxa" w:w="19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같은 축 당일 추가 sweep 금지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FF3D6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after="30" w:before="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20"/>
              </w:rPr>
              <w:t>승격 상태</w:t>
            </w:r>
          </w:p>
          <w:p>
            <w:pPr>
              <w:spacing w:after="30" w:line="240" w:lineRule="auto" w:before="0"/>
            </w:pPr>
            <w:r>
              <w:rPr>
                <w:rFonts w:ascii="Arial" w:hAnsi="Arial" w:eastAsia="Malgun Gothic"/>
                <w:b w:val="0"/>
                <w:color w:val="111111"/>
                <w:sz w:val="20"/>
              </w:rPr>
              <w:t>P0·P1을 통과해도 OFFICIAL_PROBE_ELIGIBLE입니다. 세 외부 블록이 이미 노출됐고 한 블록이 악화했으므로 DEPLOYMENT_GO 또는 +3점 보장을 주장하지 않습니다.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 w:eastAsia="Malgun Gothic"/>
          <w:b w:val="0"/>
          <w:i w:val="0"/>
          <w:color w:val="111111"/>
          <w:sz w:val="21"/>
        </w:rPr>
      </w:r>
    </w:p>
    <w:p>
      <w:pPr>
        <w:pStyle w:val="Heading1"/>
      </w:pPr>
      <w:r>
        <w:t>5. 공식 한 장의 사전 결정표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2650"/>
        <w:gridCol w:w="2800"/>
        <w:gridCol w:w="3910"/>
      </w:tblGrid>
      <w:tr>
        <w:trPr>
          <w:tblHeader w:val="true"/>
        </w:trPr>
        <w:tc>
          <w:tcPr>
            <w:tcW w:type="dxa" w:w="2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7F2EC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공식 결과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7F2EC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조치</w:t>
            </w:r>
          </w:p>
        </w:tc>
        <w:tc>
          <w:tcPr>
            <w:tcW w:type="dxa" w:w="391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7F2EC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해석</w:t>
            </w:r>
          </w:p>
        </w:tc>
      </w:tr>
      <w:tr>
        <w:tc>
          <w:tcPr>
            <w:tcW w:type="dxa" w:w="2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&gt;26.611283점, 반올림 잡음 초과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새 P2 public best 채택</w:t>
            </w:r>
          </w:p>
        </w:tc>
        <w:tc>
          <w:tcPr>
            <w:tcW w:type="dxa" w:w="391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수직 covariance expert 유효; α 즉시 재튜닝 금지</w:t>
            </w:r>
          </w:p>
        </w:tc>
      </w:tr>
      <w:tr>
        <w:tc>
          <w:tcPr>
            <w:tcW w:type="dxa" w:w="2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동률·경계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방향성 기록, 당일 중단</w:t>
            </w:r>
          </w:p>
        </w:tc>
        <w:tc>
          <w:tcPr>
            <w:tcW w:type="dxa" w:w="391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정보 부족; 같은 축 반복 금지</w:t>
            </w:r>
          </w:p>
        </w:tc>
      </w:tr>
      <w:tr>
        <w:tc>
          <w:tcPr>
            <w:tcW w:type="dxa" w:w="2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악화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OAS 축 종료</w:t>
            </w:r>
          </w:p>
        </w:tc>
        <w:tc>
          <w:tcPr>
            <w:tcW w:type="dxa" w:w="391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남은 슬롯은 다른 family에 보존</w:t>
            </w:r>
          </w:p>
        </w:tc>
      </w:tr>
    </w:tbl>
    <w:p>
      <w:pPr>
        <w:spacing w:before="0" w:after="100" w:line="259" w:lineRule="auto"/>
      </w:pPr>
      <w:r>
        <w:rPr>
          <w:rFonts w:ascii="Arial" w:hAnsi="Arial" w:eastAsia="Malgun Gothic"/>
          <w:b w:val="0"/>
          <w:i w:val="0"/>
          <w:color w:val="111111"/>
          <w:sz w:val="21"/>
        </w:rPr>
        <w:t>로컬 RMSE Δ를 공식 점수 Δ로 직접 환산하지 않는다. 과거 로컬-공식 민감도 괴리는 이 후보를 무조건 탈락시키지 않을 이유이지, 점수 상승을 보장할 이유가 아니다.</w:t>
      </w:r>
    </w:p>
    <w:p>
      <w:pPr>
        <w:pStyle w:val="Heading1"/>
      </w:pPr>
      <w:r>
        <w:t>6. 후보별 기회가치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2900"/>
        <w:gridCol w:w="2000"/>
        <w:gridCol w:w="2800"/>
        <w:gridCol w:w="1660"/>
      </w:tblGrid>
      <w:tr>
        <w:trPr>
          <w:tblHeader w:val="true"/>
        </w:trPr>
        <w:tc>
          <w:tcPr>
            <w:tcW w:type="dxa" w:w="2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F2F4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후보</w:t>
            </w:r>
          </w:p>
        </w:tc>
        <w:tc>
          <w:tcPr>
            <w:tcW w:type="dxa" w:w="20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F2F4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구조적 새로움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F2F4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실패 시 정보</w:t>
            </w:r>
          </w:p>
        </w:tc>
        <w:tc>
          <w:tcPr>
            <w:tcW w:type="dxa" w:w="16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F2F4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권고</w:t>
            </w:r>
          </w:p>
        </w:tc>
      </w:tr>
      <w:tr>
        <w:tc>
          <w:tcPr>
            <w:tcW w:type="dxa" w:w="2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P2 OAS 10% + projection</w:t>
            </w:r>
          </w:p>
        </w:tc>
        <w:tc>
          <w:tcPr>
            <w:tcW w:type="dxa" w:w="20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높음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높음: profile covariance 가설 판별</w:t>
            </w:r>
          </w:p>
        </w:tc>
        <w:tc>
          <w:tcPr>
            <w:tcW w:type="dxa" w:w="16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1순위</w:t>
            </w:r>
          </w:p>
        </w:tc>
      </w:tr>
      <w:tr>
        <w:tc>
          <w:tcPr>
            <w:tcW w:type="dxa" w:w="2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P2 경계 정합 전년 prior</w:t>
            </w:r>
          </w:p>
        </w:tc>
        <w:tc>
          <w:tcPr>
            <w:tcW w:type="dxa" w:w="20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중간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이미 반증 완료</w:t>
            </w:r>
          </w:p>
        </w:tc>
        <w:tc>
          <w:tcPr>
            <w:tcW w:type="dxa" w:w="16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제출 금지</w:t>
            </w:r>
          </w:p>
        </w:tc>
      </w:tr>
      <w:tr>
        <w:tc>
          <w:tcPr>
            <w:tcW w:type="dxa" w:w="2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P3 −8/−12</w:t>
            </w:r>
          </w:p>
        </w:tc>
        <w:tc>
          <w:tcPr>
            <w:tcW w:type="dxa" w:w="20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낮음: 같은 1D축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낮음</w:t>
            </w:r>
          </w:p>
        </w:tc>
        <w:tc>
          <w:tcPr>
            <w:tcW w:type="dxa" w:w="16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보류</w:t>
            </w:r>
          </w:p>
        </w:tc>
      </w:tr>
      <w:tr>
        <w:tc>
          <w:tcPr>
            <w:tcW w:type="dxa" w:w="2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generic 대형 imputer</w:t>
            </w:r>
          </w:p>
        </w:tc>
        <w:tc>
          <w:tcPr>
            <w:tcW w:type="dxa" w:w="20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중간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준비·QA 비용 큼</w:t>
            </w:r>
          </w:p>
        </w:tc>
        <w:tc>
          <w:tcPr>
            <w:tcW w:type="dxa" w:w="16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다음 연구</w:t>
            </w:r>
          </w:p>
        </w:tc>
      </w:tr>
      <w:tr>
        <w:tc>
          <w:tcPr>
            <w:tcW w:type="dxa" w:w="2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P3 ERA5 context transfer</w:t>
            </w:r>
          </w:p>
        </w:tc>
        <w:tc>
          <w:tcPr>
            <w:tcW w:type="dxa" w:w="20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높음</w:t>
            </w:r>
          </w:p>
        </w:tc>
        <w:tc>
          <w:tcPr>
            <w:tcW w:type="dxa" w:w="2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높음</w:t>
            </w:r>
          </w:p>
        </w:tc>
        <w:tc>
          <w:tcPr>
            <w:tcW w:type="dxa" w:w="166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고정 실험 완료 후</w:t>
            </w:r>
          </w:p>
        </w:tc>
      </w:tr>
    </w:tbl>
    <w:p>
      <w:pPr>
        <w:pStyle w:val="TableSource"/>
      </w:pPr>
      <w:r>
        <w:t>P2 관측 headroom은 P3보다 약 20배 크다. P3 same-axis optimum은 이미 공식 확인됨.</w:t>
      </w:r>
    </w:p>
    <w:p>
      <w:pPr>
        <w:pStyle w:val="Heading1"/>
      </w:pPr>
      <w:r>
        <w:t>7. 다음 큰 구조</w:t>
      </w:r>
    </w:p>
    <w:p>
      <w:pPr>
        <w:spacing w:before="0" w:after="100" w:line="259" w:lineRule="auto"/>
      </w:pPr>
      <w:r>
        <w:rPr>
          <w:rFonts w:ascii="Arial" w:hAnsi="Arial" w:eastAsia="Malgun Gothic"/>
          <w:b w:val="0"/>
          <w:i w:val="0"/>
          <w:color w:val="111111"/>
          <w:sz w:val="21"/>
        </w:rPr>
        <w:t>OAS가 공식 통과하면 이를 고정 수직 expert로 삼아 LSTI형 장·단기 양방향 imputer의 gating 입력으로 확장한다. ImputeFormer의 저랭크 attention은 긴 block missing의 계산 효율 후보지만, 교통 센서 benchmark를 그대로 전이하지 않는다. CSDI/SSSD형은 로컬에서 이미 weight 0이므로 단순 재실행하지 않는다. 모든 다음 딥 모델은 정확한 61일 contiguous mask와 공개층 조건을 유지한다.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2600"/>
        <w:gridCol w:w="3350"/>
        <w:gridCol w:w="3410"/>
      </w:tblGrid>
      <w:tr>
        <w:trPr>
          <w:tblHeader w:val="true"/>
        </w:trPr>
        <w:tc>
          <w:tcPr>
            <w:tcW w:type="dxa" w:w="26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8F0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근거</w:t>
            </w:r>
          </w:p>
        </w:tc>
        <w:tc>
          <w:tcPr>
            <w:tcW w:type="dxa" w:w="3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8F0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핵심</w:t>
            </w:r>
          </w:p>
        </w:tc>
        <w:tc>
          <w:tcPr>
            <w:tcW w:type="dxa" w:w="341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8F0F7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/>
                <w:color w:val="111111"/>
                <w:sz w:val="17"/>
              </w:rPr>
              <w:t>우리 판단</w:t>
            </w:r>
          </w:p>
        </w:tc>
      </w:tr>
      <w:tr>
        <w:tc>
          <w:tcPr>
            <w:tcW w:type="dxa" w:w="26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LSTI / TMLR</w:t>
            </w:r>
          </w:p>
        </w:tc>
        <w:tc>
          <w:tcPr>
            <w:tcW w:type="dxa" w:w="3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장·단기 양방향 expert + meta weighting</w:t>
            </w:r>
          </w:p>
        </w:tc>
        <w:tc>
          <w:tcPr>
            <w:tcW w:type="dxa" w:w="341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OAS 공식 통과 뒤 2단계</w:t>
            </w:r>
          </w:p>
        </w:tc>
      </w:tr>
      <w:tr>
        <w:tc>
          <w:tcPr>
            <w:tcW w:type="dxa" w:w="26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ImputeFormer / KDD 2024</w:t>
            </w:r>
          </w:p>
        </w:tc>
        <w:tc>
          <w:tcPr>
            <w:tcW w:type="dxa" w:w="3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저랭크 projected attention</w:t>
            </w:r>
          </w:p>
        </w:tc>
        <w:tc>
          <w:tcPr>
            <w:tcW w:type="dxa" w:w="341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효율 후보, 도메인 재검증 필요</w:t>
            </w:r>
          </w:p>
        </w:tc>
      </w:tr>
      <w:tr>
        <w:tc>
          <w:tcPr>
            <w:tcW w:type="dxa" w:w="26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CSDI / NeurIPS 2021</w:t>
            </w:r>
          </w:p>
        </w:tc>
        <w:tc>
          <w:tcPr>
            <w:tcW w:type="dxa" w:w="3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조건부 diffusion</w:t>
            </w:r>
          </w:p>
        </w:tc>
        <w:tc>
          <w:tcPr>
            <w:tcW w:type="dxa" w:w="341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로컬 유사 family 실패로 후순위</w:t>
            </w:r>
          </w:p>
        </w:tc>
      </w:tr>
      <w:tr>
        <w:tc>
          <w:tcPr>
            <w:tcW w:type="dxa" w:w="26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TSI-Bench</w:t>
            </w:r>
          </w:p>
        </w:tc>
        <w:tc>
          <w:tcPr>
            <w:tcW w:type="dxa" w:w="3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다중 missing pattern 대규모 비교</w:t>
            </w:r>
          </w:p>
        </w:tc>
        <w:tc>
          <w:tcPr>
            <w:tcW w:type="dxa" w:w="341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17"/>
              </w:rPr>
              <w:t>61일 block 계약 고정 근거</w:t>
            </w:r>
          </w:p>
        </w:tc>
      </w:tr>
    </w:tbl>
    <w:p>
      <w:r>
        <w:br w:type="page"/>
      </w:r>
    </w:p>
    <w:p>
      <w:pPr>
        <w:pStyle w:val="Heading1"/>
      </w:pPr>
      <w:r>
        <w:t>8. 한계·중단 조건</w:t>
      </w:r>
    </w:p>
    <w:p>
      <w:pPr>
        <w:pStyle w:val="ListBullet"/>
        <w:spacing w:after="60"/>
      </w:pPr>
      <w:r>
        <w:rPr>
          <w:rFonts w:ascii="Arial" w:hAnsi="Arial" w:eastAsia="Malgun Gothic"/>
          <w:color w:val="111111"/>
          <w:sz w:val="19"/>
        </w:rPr>
        <w:t>세 외부 블록은 fresh holdout이 아니며, bootstrap은 적응적 모델 선택 편향을 제거하지 못합니다.</w:t>
      </w:r>
    </w:p>
    <w:p>
      <w:pPr>
        <w:pStyle w:val="ListBullet"/>
        <w:spacing w:after="60"/>
      </w:pPr>
      <w:r>
        <w:rPr>
          <w:rFonts w:ascii="Arial" w:hAnsi="Arial" w:eastAsia="Malgun Gothic"/>
          <w:color w:val="111111"/>
          <w:sz w:val="19"/>
        </w:rPr>
        <w:t>frozen reference는 공식 lineage OOF이며 현재 U의 미세 공식축 보정을 완전히 재현한 것은 아닙니다.</w:t>
      </w:r>
    </w:p>
    <w:p>
      <w:pPr>
        <w:pStyle w:val="ListBullet"/>
        <w:spacing w:after="60"/>
      </w:pPr>
      <w:r>
        <w:rPr>
          <w:rFonts w:ascii="Arial" w:hAnsi="Arial" w:eastAsia="Malgun Gothic"/>
          <w:color w:val="111111"/>
          <w:sz w:val="19"/>
        </w:rPr>
        <w:t>2025 Jul–Aug 악화는 계절 covariance의 regime risk를 보여줍니다.</w:t>
      </w:r>
    </w:p>
    <w:p>
      <w:pPr>
        <w:pStyle w:val="ListBullet"/>
        <w:spacing w:after="60"/>
      </w:pPr>
      <w:r>
        <w:rPr>
          <w:rFonts w:ascii="Arial" w:hAnsi="Arial" w:eastAsia="Malgun Gothic"/>
          <w:color w:val="111111"/>
          <w:sz w:val="19"/>
        </w:rPr>
        <w:t>정확한 대회명·파일명·팀명으로 공개 참가자 코드를 검색했지만 신뢰 가능한 저장소를 찾지 못했습니다. 이는 부재의 증명이 아닙니다.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7F2EC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after="30" w:before="0" w:line="240" w:lineRule="auto"/>
            </w:pPr>
            <w:r>
              <w:rPr>
                <w:rFonts w:ascii="Arial" w:hAnsi="Arial" w:eastAsia="Malgun Gothic"/>
                <w:b w:val="0"/>
                <w:color w:val="111111"/>
                <w:sz w:val="20"/>
              </w:rPr>
              <w:t>최종 권고</w:t>
            </w:r>
          </w:p>
          <w:p>
            <w:pPr>
              <w:spacing w:after="30" w:line="240" w:lineRule="auto" w:before="0"/>
            </w:pPr>
            <w:r>
              <w:rPr>
                <w:rFonts w:ascii="Arial" w:hAnsi="Arial" w:eastAsia="Malgun Gothic"/>
                <w:b w:val="0"/>
                <w:color w:val="111111"/>
                <w:sz w:val="20"/>
              </w:rPr>
              <w:t>P0/P1을 먼저 재현한 뒤 P2 한 장만 사용하십시오. 성공하면 새 수직 expert를 다음 backbone에 편입하고, 동률·실패면 같은 축을 닫습니다. P3는 ERA5 또는 완전히 다른 구조가 준비될 때까지 보존합니다. 최소 +3 공식점은 장기 목표로 유지하되, 이번 한 장은 그 목표에 필요한 구조 가설을 공식적으로 판별하는 데 씁니다.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 w:eastAsia="Malgun Gothic"/>
          <w:b w:val="0"/>
          <w:i w:val="0"/>
          <w:color w:val="111111"/>
          <w:sz w:val="21"/>
        </w:rPr>
      </w:r>
    </w:p>
    <w:p>
      <w:pPr>
        <w:pStyle w:val="Heading1"/>
      </w:pPr>
      <w:r>
        <w:t>근거 출처·재현 경로</w:t>
      </w:r>
    </w:p>
    <w:p>
      <w:pPr>
        <w:spacing w:before="0" w:after="40" w:line="259" w:lineRule="auto"/>
      </w:pPr>
      <w:r>
        <w:rPr>
          <w:rFonts w:ascii="Arial" w:hAnsi="Arial" w:eastAsia="Malgun Gothic"/>
          <w:b w:val="0"/>
          <w:i w:val="0"/>
          <w:color w:val="5A6573"/>
          <w:sz w:val="17"/>
        </w:rPr>
        <w:t>Conditional multivariate FPCA: https://arxiv.org/html/2608.05376v1</w:t>
      </w:r>
    </w:p>
    <w:p>
      <w:pPr>
        <w:spacing w:before="0" w:after="40" w:line="259" w:lineRule="auto"/>
      </w:pPr>
      <w:r>
        <w:rPr>
          <w:rFonts w:ascii="Arial" w:hAnsi="Arial" w:eastAsia="Malgun Gothic"/>
          <w:b w:val="0"/>
          <w:i w:val="0"/>
          <w:color w:val="5A6573"/>
          <w:sz w:val="17"/>
        </w:rPr>
        <w:t>ImputeFormer: https://arxiv.org/html/2312.01728v3 · https://github.com/tongnie/ImputeFormer</w:t>
      </w:r>
    </w:p>
    <w:p>
      <w:pPr>
        <w:spacing w:before="0" w:after="40" w:line="259" w:lineRule="auto"/>
      </w:pPr>
      <w:r>
        <w:rPr>
          <w:rFonts w:ascii="Arial" w:hAnsi="Arial" w:eastAsia="Malgun Gothic"/>
          <w:b w:val="0"/>
          <w:i w:val="0"/>
          <w:color w:val="5A6573"/>
          <w:sz w:val="17"/>
        </w:rPr>
        <w:t>LSTI: https://openreview.net/forum?id=9NVJ0ZgEfT</w:t>
      </w:r>
    </w:p>
    <w:p>
      <w:pPr>
        <w:spacing w:before="0" w:after="40" w:line="259" w:lineRule="auto"/>
      </w:pPr>
      <w:r>
        <w:rPr>
          <w:rFonts w:ascii="Arial" w:hAnsi="Arial" w:eastAsia="Malgun Gothic"/>
          <w:b w:val="0"/>
          <w:i w:val="0"/>
          <w:color w:val="5A6573"/>
          <w:sz w:val="17"/>
        </w:rPr>
        <w:t>CSDI: https://proceedings.neurips.cc/paper/2021/hash/cfe8504bda37b575c70ee1a8276f3486-Abstract.html</w:t>
      </w:r>
    </w:p>
    <w:p>
      <w:pPr>
        <w:spacing w:before="0" w:after="40" w:line="259" w:lineRule="auto"/>
      </w:pPr>
      <w:r>
        <w:rPr>
          <w:rFonts w:ascii="Arial" w:hAnsi="Arial" w:eastAsia="Malgun Gothic"/>
          <w:b w:val="0"/>
          <w:i w:val="0"/>
          <w:color w:val="5A6573"/>
          <w:sz w:val="17"/>
        </w:rPr>
        <w:t>TSI-Bench: https://arxiv.org/abs/2406.12747 · https://github.com/WenjieDu/Awesome_Imputation</w:t>
      </w:r>
    </w:p>
    <w:p>
      <w:pPr>
        <w:spacing w:before="0" w:after="40" w:line="259" w:lineRule="auto"/>
      </w:pPr>
      <w:r>
        <w:rPr>
          <w:rFonts w:ascii="Arial" w:hAnsi="Arial" w:eastAsia="Malgun Gothic"/>
          <w:b w:val="0"/>
          <w:i w:val="0"/>
          <w:color w:val="5A6573"/>
          <w:sz w:val="17"/>
        </w:rPr>
        <w:t>Leaderboard risk: https://proceedings.mlr.press/v37/blum15.html · https://www.jmlr.org/papers/v11/cawley10a.html</w:t>
      </w:r>
    </w:p>
    <w:p>
      <w:pPr>
        <w:spacing w:before="0" w:after="40" w:line="259" w:lineRule="auto"/>
      </w:pPr>
      <w:r>
        <w:rPr>
          <w:rFonts w:ascii="Arial" w:hAnsi="Arial" w:eastAsia="Malgun Gothic"/>
          <w:b w:val="0"/>
          <w:i w:val="0"/>
          <w:color w:val="5A6573"/>
          <w:sz w:val="17"/>
        </w:rPr>
        <w:t>Local result: artifacts/p2_oas_conditional_profile_20260827_v3/result.json</w:t>
      </w:r>
    </w:p>
    <w:p>
      <w:pPr>
        <w:spacing w:before="0" w:after="40" w:line="259" w:lineRule="auto"/>
      </w:pPr>
      <w:r>
        <w:rPr>
          <w:rFonts w:ascii="Arial" w:hAnsi="Arial" w:eastAsia="Malgun Gothic"/>
          <w:b w:val="0"/>
          <w:i w:val="0"/>
          <w:color w:val="5A6573"/>
          <w:sz w:val="17"/>
        </w:rPr>
        <w:t>Full report and claim ledger: reports/next_submission_deep_research_20260827_v1/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algun Gothic"/>
        <w:color w:val="5A65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 w:eastAsia="Malgun Gothic"/>
        <w:b/>
        <w:color w:val="5A6573"/>
        <w:sz w:val="16"/>
      </w:rPr>
      <w:t>분당독고다이  |  다음 제출기회 의사결정 메모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287C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Source">
    <w:name w:val="Table Source"/>
    <w:pPr>
      <w:spacing w:before="60" w:after="80"/>
    </w:pPr>
    <w:rPr>
      <w:rFonts w:ascii="Arial" w:hAnsi="Arial" w:eastAsia="Malgun Gothic"/>
      <w:i/>
      <w:color w:val="5A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