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56"/>
          <w:szCs w:val="56"/>
        </w:rPr>
        <w:t xml:space="preserve">레크리에이션 지도</w:t>
      </w:r>
    </w:p>
    <w:p>
      <w:pPr>
        <w:spacing w:after="0" w:before="240"/>
        <w:jc w:val="center"/>
      </w:pPr>
      <w:r>
        <w:rPr>
          <w:rFonts w:ascii="Malgun Gothic" w:cs="Malgun Gothic" w:eastAsia="Malgun Gothic" w:hAnsi="Malgun Gothic"/>
          <w:color w:val="2F5496"/>
          <w:sz w:val="26"/>
          <w:szCs w:val="26"/>
        </w:rPr>
        <w:t xml:space="preserve">여가·놀이의 이론에서 현장 지도의 기술까지</w:t>
      </w:r>
    </w:p>
    <w:p>
      <w:pPr>
        <w:spacing w:after="0" w:before="10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최진이</w:t>
      </w:r>
    </w:p>
    <w:p>
      <w:pPr>
        <w:spacing w:after="0" w:before="1600"/>
        <w:jc w:val="center"/>
      </w:pPr>
      <w:r>
        <w:rPr>
          <w:rFonts w:ascii="Malgun Gothic" w:cs="Malgun Gothic" w:eastAsia="Malgun Gothic" w:hAnsi="Malgun Gothic"/>
          <w:color w:val="767171"/>
          <w:sz w:val="20"/>
          <w:szCs w:val="20"/>
        </w:rPr>
        <w:t xml:space="preserve">집필용 목차 (초안)</w:t>
      </w:r>
    </w:p>
    <w:p>
      <w:r>
        <w:br w:type="page"/>
      </w:r>
    </w:p>
    <w:p>
      <w:pPr>
        <w:pStyle w:val="Heading1"/>
        <w:pBdr>
          <w:bottom w:val="single" w:color="2F5496" w:sz="8" w:space="6"/>
        </w:pBdr>
        <w:spacing w:after="200" w:before="420"/>
      </w:pPr>
      <w:r>
        <w:rPr>
          <w:rFonts w:ascii="Malgun Gothic" w:cs="Malgun Gothic" w:eastAsia="Malgun Gothic" w:hAnsi="Malgun Gothic"/>
          <w:b/>
          <w:bCs/>
          <w:color w:val="2F5496"/>
          <w:sz w:val="28"/>
          <w:szCs w:val="28"/>
        </w:rPr>
        <w:t xml:space="preserve">목차 설계의 원칙</w:t>
      </w:r>
    </w:p>
    <w:p>
      <w:pPr>
        <w:spacing w:after="160" w:before="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책은 대학 강의교재와 지도자 양성과정 실무교재 사이에 놓인다. 어느 한쪽으로 기울면 다른 한쪽이 헐거워지는데, 국내 레크리에이션 도서 대부분이 그 헐거움을 안고 있다. 여가학 개론서는 현장에서 마이크를 잡는 순간 쓸 데가 없고, 게임 모음집은 왜 그 게임을 그 자리에 배치하는지를 설명하지 못한다.</w:t>
      </w:r>
    </w:p>
    <w:p>
      <w:pPr>
        <w:spacing w:after="160" w:before="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그래서 편제를 이렇게 잡았다. 1·2부에서 여가와 놀이를 학문적으로 정초하고, 3부에서 대상을 읽는 눈을 세우며, 4부에서 지도의 기술로 내려온다. 5부는 프로그램을 설계·평가하는 절차이고, 6부는 치료와 디지털이라는 두 확장 영역이다. 이론에서 기술로 내려오는 하강 구조이되, 4부의 각 기술은 앞부(部)의 어느 이론에서 나왔는지를 본문에서 되짚는다.</w:t>
      </w:r>
    </w:p>
    <w:p>
      <w:pPr>
        <w:spacing w:after="160" w:before="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전체는 6부 24장이다. 장당 15~20쪽을 기준으로 하면 본문 약 400쪽, 부록을 더해 480쪽 안팎이 된다.</w:t>
      </w:r>
    </w:p>
    <w:p>
      <w:pPr>
        <w:pStyle w:val="Heading1"/>
        <w:pBdr>
          <w:bottom w:val="single" w:color="2F5496" w:sz="8" w:space="6"/>
        </w:pBdr>
        <w:spacing w:after="200" w:before="420"/>
      </w:pPr>
      <w:r>
        <w:rPr>
          <w:rFonts w:ascii="Malgun Gothic" w:cs="Malgun Gothic" w:eastAsia="Malgun Gothic" w:hAnsi="Malgun Gothic"/>
          <w:b/>
          <w:bCs/>
          <w:color w:val="2F5496"/>
          <w:sz w:val="28"/>
          <w:szCs w:val="28"/>
        </w:rPr>
        <w:t xml:space="preserve">제1부  레크리에이션의 토대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제1장  레크리에이션·여가·놀이 — 세 개념의 지도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세 개념은 왜 자꾸 섞이는가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여가: 시간인가, 활동인가, 마음의 상태인가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놀이: 목적 없음이라는 목적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레크리에이션: 조직된 여가활동으로서의 자리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노동과 여가의 관계 다시 보기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제2장  어원이 말해 주는 것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스콜레(scholē) — 여가에서 학교가 나온 이유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오티움(otium)과 네고티움(negotium) — 일의 부재로 정의된 쉼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리케레(licere) — 허락된 자유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리크리에이션(re-creation) — 회복과 재창조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어원의 대비가 드러내는 여가관의 세 갈래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6. 그리고 한국어 '여가' — 잔여로서의 시간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제3장  서양 여가의 역사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원시사회: 생존과 의례 사이의 놀이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고대 그리스: 아리스토텔레스의 여가철학과 제전경기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고대 로마: 공공여가의 융성과 타락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중세: 여가의 암흑기와 그 안의 예외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르네상스와 산업화: 여가의 계급화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6. 정보화와 4차 산업혁명: 시간은 늘었는데 왜 더 쫓기는가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제4장  한국의 놀이문화와 레크리에이션의 도입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전통놀이·민속놀이·전래놀이는 어떻게 다른가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주령구와 승경도, 투호 — 기록에 남은 놀이 도구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일제강점기 민족문화 말살과 전래놀이 문제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해방 이후 레크리에이션의 도입과 제도화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오늘의 한국 여가 통계가 말하는 것</w:t>
      </w:r>
    </w:p>
    <w:p>
      <w:pPr>
        <w:pStyle w:val="Heading1"/>
        <w:pBdr>
          <w:bottom w:val="single" w:color="2F5496" w:sz="8" w:space="6"/>
        </w:pBdr>
        <w:spacing w:after="200" w:before="420"/>
      </w:pPr>
      <w:r>
        <w:rPr>
          <w:rFonts w:ascii="Malgun Gothic" w:cs="Malgun Gothic" w:eastAsia="Malgun Gothic" w:hAnsi="Malgun Gothic"/>
          <w:b/>
          <w:bCs/>
          <w:color w:val="2F5496"/>
          <w:sz w:val="28"/>
          <w:szCs w:val="28"/>
        </w:rPr>
        <w:t xml:space="preserve">제2부  여가행동의 이론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제5장  놀이 이론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생물학적 관점: 잉여에너지설, 이완설, 반복설, 연습설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환경적 관점: 정신분석이론과 인지발달이론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피아제의 동화와 조절로 본 놀이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카이와의 놀이 분류: 아곤·알레아·미미크리·일링크스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하위징아의 호모 루덴스와 놀이의 문화적 지위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6. 놀이 이론의 한계 — 왜 아직 완결된 이론이 없는가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제6장  여가 이론과 여가의 측정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사회 실재론과 사회 명목론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문화로서의 여가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여가의 순기능과 역기능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여가 측정의 방법과 도구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여가 스타일의 유형화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제7장  여가 동기와 여가 제약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내적 동기와 외적 동기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매슬로우의 욕구단계로 본 여가 참여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뒤마제디에의 여가 3대 기능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여가 제약의 세 층위와 제약 협상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여가 대체용이성 — 원하던 것을 못 할 때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6. 여가로의 사회화와 역사회화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제8장  몰입, 진지한 여가, 레크리에이션 전문화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칙센트미하이의 몰입(flow)과 그 조건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스테빈스의 여가 3분류: 일상적·진지한·프로젝트형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진지한 여가의 여섯 특성과 독특한 기풍(ethos)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브라이언의 레크리에이션 전문화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여가 정체성과 여가 경력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6. 여가 만족과 생활 만족의 연결 고리</w:t>
      </w:r>
    </w:p>
    <w:p>
      <w:pPr>
        <w:pStyle w:val="Heading1"/>
        <w:pBdr>
          <w:bottom w:val="single" w:color="2F5496" w:sz="8" w:space="6"/>
        </w:pBdr>
        <w:spacing w:after="200" w:before="420"/>
      </w:pPr>
      <w:r>
        <w:rPr>
          <w:rFonts w:ascii="Malgun Gothic" w:cs="Malgun Gothic" w:eastAsia="Malgun Gothic" w:hAnsi="Malgun Gothic"/>
          <w:b/>
          <w:bCs/>
          <w:color w:val="2F5496"/>
          <w:sz w:val="28"/>
          <w:szCs w:val="28"/>
        </w:rPr>
        <w:t xml:space="preserve">제3부  생애주기와 대상별 레크리에이션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제9장  생애주기와 여가행태의 변화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생애주기 관점이 지도자에게 주는 것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기계적 모델과 유기체적 모델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생애 단계별 여가 제약의 이동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세대 통합 프로그램의 설계 원리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제10장  유아·아동기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발달 단계와 놀이의 대응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신체·인지·사회성을 함께 겨냥하는 활동 설계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안전 기준과 지도자의 개입 수위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유아 레크리에이션 진행법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제11장  청소년기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청소년 여가의 특성과 제약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또래 집단, 경쟁, 그리고 소외되는 아이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청소년 활동 현장에서의 레크리에이션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집회·수련회 규모의 진행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제12장  중장년기와 가족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중장년 여가의 구조적 제약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직장·조직 대상 팀빌딩의 성격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가족 단위 프로그램과 세대 간 소통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제13장  노년기와 실버레크리에이션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고령화사회·고령사회·초고령사회의 기준과 함의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노화 이론과 노년기 여가의 의미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실버레크리에이션의 원칙: 느리게, 안전하게, 성취감 있게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인지재활 레크리에이션과 치매 예방 활동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요양·복지 현장의 운영 조건</w:t>
      </w:r>
    </w:p>
    <w:p>
      <w:pPr>
        <w:pStyle w:val="Heading1"/>
        <w:pBdr>
          <w:bottom w:val="single" w:color="2F5496" w:sz="8" w:space="6"/>
        </w:pBdr>
        <w:spacing w:after="200" w:before="420"/>
      </w:pPr>
      <w:r>
        <w:rPr>
          <w:rFonts w:ascii="Malgun Gothic" w:cs="Malgun Gothic" w:eastAsia="Malgun Gothic" w:hAnsi="Malgun Gothic"/>
          <w:b/>
          <w:bCs/>
          <w:color w:val="2F5496"/>
          <w:sz w:val="28"/>
          <w:szCs w:val="28"/>
        </w:rPr>
        <w:t xml:space="preserve">제4부  레크리에이션 지도의 원리와 기술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제14장  지도자의 정체성과 리더십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레크리에이션 리더는 무엇을 하는 사람인가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리더십 이론의 적용과 한계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지도자의 역할: 진행자, 교육자, 조력자, 관찰자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지도자 윤리와 안전 책임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자기 점검 — 나는 어떤 유형의 진행자인가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제15장  진행의 구조와 시나리오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도입 – 전개 – 절정 – 마무리의 4단계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각 단계의 목적과 시간 배분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가장 중요한 단계는 어디인가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시나리오 작성법과 큐시트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무너진 흐름을 되살리는 전환 기술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제16장  진행 기술 — 몸으로 하는 일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목소리의 고저장단과 말의 속도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표정과 동작, 무대 위의 몸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라포 형성의 첫 5분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질문과 호명, 참여를 끌어내는 화법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상황별 대처: 호응이 없을 때, 과열될 때, 사고가 났을 때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제17장  아이스브레이크와 팀빌딩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아이스브레이크의 목적과 오해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관계 형성 단계별 활동 배치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팀 편성, 팀장 선출, 팀 이름 정하기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협동과 경쟁의 균형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그룹워크로의 연결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제18장  게임의 설계·운영·변형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경쟁과 규칙 — 게임의 두 기본 요소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게임의 분류: 장소·목적·대상·인원별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규칙 설명의 기술과 시범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승부의 관리와 벌칙의 윤리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하나의 게임을 대상에 맞게 변형하는 법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6. 도구·음악·무대의 활용</w:t>
      </w:r>
    </w:p>
    <w:p>
      <w:pPr>
        <w:pStyle w:val="Heading1"/>
        <w:pBdr>
          <w:bottom w:val="single" w:color="2F5496" w:sz="8" w:space="6"/>
        </w:pBdr>
        <w:spacing w:after="200" w:before="420"/>
      </w:pPr>
      <w:r>
        <w:rPr>
          <w:rFonts w:ascii="Malgun Gothic" w:cs="Malgun Gothic" w:eastAsia="Malgun Gothic" w:hAnsi="Malgun Gothic"/>
          <w:b/>
          <w:bCs/>
          <w:color w:val="2F5496"/>
          <w:sz w:val="28"/>
          <w:szCs w:val="28"/>
        </w:rPr>
        <w:t xml:space="preserve">제5부  프로그램 개발과 평가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제19장  문화복지로서의 레크리에이션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여가권과 문화복지의 개념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레크리에이션의 사회적 기능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공공·복지 영역의 수요와 전달 체계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제20장  프로그래밍의 실제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요구 분석과 대상 진단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목표 설정과 활동 선정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시간·공간·인력·예산의 설계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위험 요인 점검과 대안 시나리오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프로그램 계획서 작성 실습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제21장  직무 표준과 자격, 그리고 평가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NCS 기반 레크리에이션 직무의 구조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지도자 자격 제도의 현황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프로그램 평가의 방법과 지표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참가자 피드백의 수집과 환류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지도자의 성장 경로</w:t>
      </w:r>
    </w:p>
    <w:p>
      <w:pPr>
        <w:pStyle w:val="Heading1"/>
        <w:pBdr>
          <w:bottom w:val="single" w:color="2F5496" w:sz="8" w:space="6"/>
        </w:pBdr>
        <w:spacing w:after="200" w:before="420"/>
      </w:pPr>
      <w:r>
        <w:rPr>
          <w:rFonts w:ascii="Malgun Gothic" w:cs="Malgun Gothic" w:eastAsia="Malgun Gothic" w:hAnsi="Malgun Gothic"/>
          <w:b/>
          <w:bCs/>
          <w:color w:val="2F5496"/>
          <w:sz w:val="28"/>
          <w:szCs w:val="28"/>
        </w:rPr>
        <w:t xml:space="preserve">제6부  응용과 확장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제22장  치료레크리에이션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치료레크리에이션의 정의와 일반 레크리에이션과의 경계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역사와 주요 모델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사정 – 계획 – 실행 – 평가의 과정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대상별 적용: 장애, 정신건강, 만성질환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전문 인력과 협업 구조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제23장  유머테라피와 웃음, 정서 회복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웃음의 생리적·심리적 기제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유머테라피의 원리와 진행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정서 회복 프로그램에서 레크리에이션의 자리</w:t>
      </w:r>
    </w:p>
    <w:p>
      <w:pPr>
        <w:pStyle w:val="Heading2"/>
        <w:spacing w:after="100" w:before="26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제24장  디지털 전환과 AI 융합 레크리에이션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1. 비대면·하이브리드 진행의 조건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2. 실시간 참여 도구의 활용과 한계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생성형 AI로 프로그램·퀴즈·시나리오 만들기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4. AI가 대신할 수 없는 것 — 현장성과 관계</w:t>
      </w:r>
    </w:p>
    <w:p>
      <w:pPr>
        <w:spacing w:after="60" w:line="288"/>
        <w:ind w:left="403" w:hanging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5. 디지털 활용의 윤리와 개인정보</w:t>
      </w:r>
    </w:p>
    <w:p>
      <w:pPr>
        <w:pStyle w:val="Heading1"/>
        <w:pBdr>
          <w:bottom w:val="single" w:color="2F5496" w:sz="8" w:space="6"/>
        </w:pBdr>
        <w:spacing w:after="200" w:before="420"/>
      </w:pPr>
      <w:r>
        <w:rPr>
          <w:rFonts w:ascii="Malgun Gothic" w:cs="Malgun Gothic" w:eastAsia="Malgun Gothic" w:hAnsi="Malgun Gothic"/>
          <w:b/>
          <w:bCs/>
          <w:color w:val="2F5496"/>
          <w:sz w:val="28"/>
          <w:szCs w:val="28"/>
        </w:rPr>
        <w:t xml:space="preserve">부록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부록 A. 기독교 레크리에이션 — 재창조(Re-creation)의 신학, 코이노니아와 공동체 회복, 놀이 목회 상담, EPIC 이론의 적용, 교회 현장별 운영(다음세대·실버·전교인)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부록 B. 게임 레퍼토리 100선 — 단계별·대상별 색인과 진행 카드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부록 C. 현장 서식 — 시나리오 양식, 큐시트, 안전 점검표, 프로그램 평가지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부록 D. 15주 강의 운영안 — 이 책을 한 학기 강의로 쓸 때의 주차별 배분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부록 E. 용어 해설 — 본문 주요 개념 색인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부록 F. 참고문헌</w:t>
      </w:r>
    </w:p>
    <w:p>
      <w:r>
        <w:br w:type="page"/>
      </w:r>
    </w:p>
    <w:p>
      <w:pPr>
        <w:pStyle w:val="Heading1"/>
        <w:pBdr>
          <w:bottom w:val="single" w:color="2F5496" w:sz="8" w:space="6"/>
        </w:pBdr>
        <w:spacing w:after="200" w:before="420"/>
      </w:pPr>
      <w:r>
        <w:rPr>
          <w:rFonts w:ascii="Malgun Gothic" w:cs="Malgun Gothic" w:eastAsia="Malgun Gothic" w:hAnsi="Malgun Gothic"/>
          <w:b/>
          <w:bCs/>
          <w:color w:val="2F5496"/>
          <w:sz w:val="28"/>
          <w:szCs w:val="28"/>
        </w:rPr>
        <w:t xml:space="preserve">이 목차의 근거 자료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060"/>
      </w:tblGrid>
      <w:tr>
        <w:trPr>
          <w:tblHeader/>
        </w:trPr>
        <w:tc>
          <w:tcPr>
            <w:tcW w:type="dxa" w:w="1300"/>
            <w:shd w:fill="DCE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부</w:t>
            </w:r>
          </w:p>
        </w:tc>
        <w:tc>
          <w:tcPr>
            <w:tcW w:type="dxa" w:w="8060"/>
            <w:shd w:fill="DCE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주로 기대는 자료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제1부</w:t>
            </w:r>
          </w:p>
        </w:tc>
        <w:tc>
          <w:tcPr>
            <w:tcW w:type="dxa" w:w="8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2024·2023년 1강(어원·학문적 접근), 2025년 2강, 2023년 2강(학문적·역사적), 11주차 학습필수요소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제2부</w:t>
            </w:r>
          </w:p>
        </w:tc>
        <w:tc>
          <w:tcPr>
            <w:tcW w:type="dxa" w:w="8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2025·2022년 3강, 2025년 3강(진지한 여가·전문화·여가만족), 2025년 기말고사 개념 목록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제3부</w:t>
            </w:r>
          </w:p>
        </w:tc>
        <w:tc>
          <w:tcPr>
            <w:tcW w:type="dxa" w:w="8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2025·2022년 4강(생애주기와 실버레크리에이션), 2025년 마지막 강의안, 실버·인지재활 영상 자료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제4부</w:t>
            </w:r>
          </w:p>
        </w:tc>
        <w:tc>
          <w:tcPr>
            <w:tcW w:type="dxa" w:w="8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숭실사이버대 10~14주차 강의안, 리더십, 아이스브레이크, group work, 게임 99가지, 팀빌딩 자료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제5부</w:t>
            </w:r>
          </w:p>
        </w:tc>
        <w:tc>
          <w:tcPr>
            <w:tcW w:type="dxa" w:w="8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NCS기반 교육과정개발 보고서(게임지도·레크리에이션과), 2016년 NCS 게임지도 강의계획서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제6부</w:t>
            </w:r>
          </w:p>
        </w:tc>
        <w:tc>
          <w:tcPr>
            <w:tcW w:type="dxa" w:w="8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치료레크리에이션 원고, 유아 레크리에이션 진행법·레크치료, AI와 교회 레크리에이션 워크숍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부록 A</w:t>
            </w:r>
          </w:p>
        </w:tc>
        <w:tc>
          <w:tcPr>
            <w:tcW w:type="dxa" w:w="8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2026년 광주 레크과정 강의안(기독교 레크리에이션 이론), 청소년찬양집회·수련회 팀빌딩 자료</w:t>
            </w:r>
          </w:p>
        </w:tc>
      </w:tr>
    </w:tbl>
    <w:p>
      <w:pPr>
        <w:spacing w:after="120" w:before="2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원자료의 주교재·참고문헌으로 기재되어 있던 도서는 다음 세 종이다. 집필 단계에서 서지사항을 재확인해야 한다.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최진이(2016). 『NCS기반 게임지도』. YSM출판부. (11주차 자료에는 『NCS기반 실내게임지도교본』으로 표기)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박세혁(2010). 『디지털시대의 여가 및 레크리에이션』. 가림출판사.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정용각(2000). 『여가행동 및 레크리에이션』. PUFS.</w:t>
      </w:r>
    </w:p>
    <w:p>
      <w:pPr>
        <w:pStyle w:val="Heading1"/>
        <w:pBdr>
          <w:bottom w:val="single" w:color="2F5496" w:sz="8" w:space="6"/>
        </w:pBdr>
        <w:spacing w:after="200" w:before="420"/>
      </w:pPr>
      <w:r>
        <w:rPr>
          <w:rFonts w:ascii="Malgun Gothic" w:cs="Malgun Gothic" w:eastAsia="Malgun Gothic" w:hAnsi="Malgun Gothic"/>
          <w:b/>
          <w:bCs/>
          <w:color w:val="2F5496"/>
          <w:sz w:val="28"/>
          <w:szCs w:val="28"/>
        </w:rPr>
        <w:t xml:space="preserve">남은 판단이 필요한 지점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제4부의 분량 비중. 실무교재 성격을 살리려면 4부가 전체의 3분의 1을 넘어야 하는데, 그러면 학술서로서의 균형이 흔들린다. 4부를 두껍게 가되 게임 각론은 부록 B로 밀어내는 방식이 현재의 절충안이다.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제24장의 수명. AI 도구는 이름과 기능이 빠르게 바뀐다. 특정 서비스명을 본문에 박으면 2~3년 뒤 개정이 불가피하므로, 도구가 아니라 활용 원리 중심으로 서술하는 편이 좋겠다.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치료레크리에이션의 위치. 6부에 두었으나, 분량이 커지면 별권으로 독립시키는 선택지도 있다. 드라이브의 치료레크리에이션 원고(28MB) 확보 여부에 따라 판단이 갈린다.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2026-09-02T00:45:43.705Z</dcterms:created>
  <dcterms:modified xsi:type="dcterms:W3CDTF">2026-09-02T00:45:43.706Z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