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Malgun Gothic" w:cs="Malgun Gothic" w:eastAsia="Malgun Gothic" w:hAnsi="Malgun Gothic"/>
          <w:color w:val="767171"/>
          <w:sz w:val="20"/>
          <w:szCs w:val="20"/>
        </w:rPr>
        <w:t xml:space="preserve">제1부  레크리에이션의 토대</w:t>
      </w:r>
    </w:p>
    <w:p>
      <w:pPr>
        <w:pBdr>
          <w:bottom w:val="single" w:color="1F3864" w:sz="12" w:space="8"/>
        </w:pBdr>
        <w:spacing w:after="300" w:before="0"/>
      </w:pPr>
      <w:r>
        <w:rPr>
          <w:rFonts w:ascii="Malgun Gothic" w:cs="Malgun Gothic" w:eastAsia="Malgun Gothic" w:hAnsi="Malgun Gothic"/>
          <w:b/>
          <w:bCs/>
          <w:color w:val="1F3864"/>
          <w:sz w:val="40"/>
          <w:szCs w:val="40"/>
        </w:rPr>
        <w:t xml:space="preserve">제2장  어원이 말해 주는 것</w:t>
      </w:r>
    </w:p>
    <w:p>
      <w:pPr>
        <w:spacing w:after="100" w:before="0"/>
      </w:pPr>
      <w:r>
        <w:rPr>
          <w:rFonts w:ascii="Malgun Gothic" w:cs="Malgun Gothic" w:eastAsia="Malgun Gothic" w:hAnsi="Malgun Gothic"/>
          <w:b/>
          <w:bCs/>
          <w:color w:val="1F3864"/>
          <w:sz w:val="20"/>
          <w:szCs w:val="20"/>
        </w:rPr>
        <w:t xml:space="preserve">학습 목표</w:t>
      </w:r>
    </w:p>
    <w:p>
      <w:pPr>
        <w:spacing w:after="90" w:line="320"/>
        <w:ind w:left="489" w:hanging="316"/>
      </w:pPr>
      <w:r>
        <w:rPr>
          <w:rFonts w:ascii="Batang" w:cs="Batang" w:eastAsia="Batang" w:hAnsi="Batang"/>
          <w:sz w:val="19"/>
          <w:szCs w:val="19"/>
        </w:rPr>
        <w:t xml:space="preserve">1. 스콜레·오티움·리케레의 어원적 의미를 구별하여 설명할 수 있다.</w:t>
      </w:r>
    </w:p>
    <w:p>
      <w:pPr>
        <w:spacing w:after="90" w:line="320"/>
        <w:ind w:left="489" w:hanging="316"/>
      </w:pPr>
      <w:r>
        <w:rPr>
          <w:rFonts w:ascii="Batang" w:cs="Batang" w:eastAsia="Batang" w:hAnsi="Batang"/>
          <w:sz w:val="19"/>
          <w:szCs w:val="19"/>
        </w:rPr>
        <w:t xml:space="preserve">2. 각 어원이 전제하는 노동과 여가의 관계를 대비할 수 있다.</w:t>
      </w:r>
    </w:p>
    <w:p>
      <w:pPr>
        <w:spacing w:after="90" w:line="320"/>
        <w:ind w:left="489" w:hanging="316"/>
      </w:pPr>
      <w:r>
        <w:rPr>
          <w:rFonts w:ascii="Batang" w:cs="Batang" w:eastAsia="Batang" w:hAnsi="Batang"/>
          <w:sz w:val="19"/>
          <w:szCs w:val="19"/>
        </w:rPr>
        <w:t xml:space="preserve">3. 리크리에이션의 두 해석, 곧 회복과 재창조가 지도 현장에서 어떻게 갈라지는지 설명할 수 있다.</w:t>
      </w:r>
    </w:p>
    <w:p>
      <w:pPr>
        <w:spacing w:after="90" w:line="320"/>
        <w:ind w:left="489" w:hanging="316"/>
      </w:pPr>
      <w:r>
        <w:rPr>
          <w:rFonts w:ascii="Batang" w:cs="Batang" w:eastAsia="Batang" w:hAnsi="Batang"/>
          <w:sz w:val="19"/>
          <w:szCs w:val="19"/>
        </w:rPr>
        <w:t xml:space="preserve">4. 한국어 '여가(餘暇)'의 잔여적 성격이 레크리에이션 실천에 남기는 문제를 진단할 수 있다.</w:t>
      </w:r>
    </w:p>
    <w:p>
      <w:pPr>
        <w:pStyle w:val="Heading2"/>
        <w:spacing w:after="160" w:before="400"/>
      </w:pPr>
      <w:r>
        <w:rPr>
          <w:rFonts w:ascii="Malgun Gothic" w:cs="Malgun Gothic" w:eastAsia="Malgun Gothic" w:hAnsi="Malgun Gothic"/>
          <w:b/>
          <w:bCs/>
          <w:color w:val="2F5496"/>
          <w:sz w:val="24"/>
          <w:szCs w:val="24"/>
        </w:rPr>
        <w:t xml:space="preserve">들어가며 — 어원으로 돌아가는 이유</w:t>
      </w:r>
    </w:p>
    <w:p>
      <w:pPr>
        <w:spacing w:after="160" w:line="340"/>
        <w:ind w:firstLine="187"/>
        <w:jc w:val="both"/>
      </w:pPr>
      <w:r>
        <w:rPr>
          <w:rFonts w:ascii="Batang" w:cs="Batang" w:eastAsia="Batang" w:hAnsi="Batang"/>
          <w:sz w:val="21"/>
          <w:szCs w:val="21"/>
        </w:rPr>
        <w:t xml:space="preserve">레크리에이션 지도자라고 자신을 소개할 때 되돌아오는 반응은 대체로 둘 중 하나다. 반가워하거나, 잠깐 말을 고르거나. 후자의 침묵 안에는 이런 질문이 들어 있다. 노는 것을 가르치는 일이 직업이 될 수 있는가. 이 질문은 무례해서 생기는 것이 아니라, 여가라는 말이 한국어 안에서 놓여 있는 자리 때문에 생긴다. 그 자리를 확인하려면 말이 처음 만들어졌을 때로 거슬러 올라가는 편이 빠르다.</w:t>
      </w:r>
    </w:p>
    <w:p>
      <w:pPr>
        <w:spacing w:after="160" w:line="340"/>
        <w:ind w:firstLine="187"/>
        <w:jc w:val="both"/>
      </w:pPr>
      <w:r>
        <w:rPr>
          <w:rFonts w:ascii="Batang" w:cs="Batang" w:eastAsia="Batang" w:hAnsi="Batang"/>
          <w:sz w:val="21"/>
          <w:szCs w:val="21"/>
        </w:rPr>
        <w:t xml:space="preserve">다만 시작하기 전에 한 가지를 분명히 해 둔다. 어원이 현재의 의미를 결정하지는 않는다. 낱말의 출생 신고서를 들이밀며 "원래 뜻은 이러하니 지금도 그래야 한다"고 주장하는 것은 어원적 오류(etymological fallacy)라 불리는 전형적인 논증 실패다. 여가의 어원이 교육이라 해서 오늘의 여가가 교육이어야 하는 것은 아니다.</w:t>
      </w:r>
    </w:p>
    <w:p>
      <w:pPr>
        <w:spacing w:after="160" w:line="340"/>
        <w:ind w:firstLine="187"/>
        <w:jc w:val="both"/>
      </w:pPr>
      <w:r>
        <w:rPr>
          <w:rFonts w:ascii="Batang" w:cs="Batang" w:eastAsia="Batang" w:hAnsi="Batang"/>
          <w:sz w:val="21"/>
          <w:szCs w:val="21"/>
        </w:rPr>
        <w:t xml:space="preserve">그럼에도 어원을 다루는 까닭은, 어원이 그 개념이 처음에 어떤 문제를 풀기 위해 만들어졌는지를 보여 주기 때문이다. 한 사회가 삶의 어느 국면을 굳이 이름 붙여 떼어 냈다면, 거기에는 그럴 만한 사정이 있었다. 그 사정을 읽는 일은 어원학이라기보다 개념사에 가깝고, 이 장이 하려는 것도 그것이다. 아래에서 다루는 네 낱말은 각각 다른 사정에서 태어났고, 그래서 서로 다른 여가관을 품고 있다.</w:t>
      </w:r>
    </w:p>
    <w:p>
      <w:pPr>
        <w:pStyle w:val="Heading2"/>
        <w:spacing w:after="160" w:before="400"/>
      </w:pPr>
      <w:r>
        <w:rPr>
          <w:rFonts w:ascii="Malgun Gothic" w:cs="Malgun Gothic" w:eastAsia="Malgun Gothic" w:hAnsi="Malgun Gothic"/>
          <w:b/>
          <w:bCs/>
          <w:color w:val="2F5496"/>
          <w:sz w:val="24"/>
          <w:szCs w:val="24"/>
        </w:rPr>
        <w:t xml:space="preserve">1. 스콜레(scholē) — 여가에서 학교가 나온 이유</w:t>
      </w:r>
    </w:p>
    <w:p>
      <w:pPr>
        <w:spacing w:after="160" w:line="340"/>
        <w:ind w:firstLine="187"/>
        <w:jc w:val="both"/>
      </w:pPr>
      <w:r>
        <w:rPr>
          <w:rFonts w:ascii="Batang" w:cs="Batang" w:eastAsia="Batang" w:hAnsi="Batang"/>
          <w:sz w:val="21"/>
          <w:szCs w:val="21"/>
        </w:rPr>
        <w:t xml:space="preserve">고대 그리스어 스콜레(σχολή)는 오늘날 영어 school의 먼 조상이다. 라틴어 schola를 거쳐 유럽 각국어로 퍼졌고, 그 경로에서 뜻이 크게 흔들리지 않았다는 점이 흥미롭다.</w:t>
      </w:r>
    </w:p>
    <w:p>
      <w:pPr>
        <w:spacing w:after="160" w:line="340"/>
        <w:ind w:firstLine="187"/>
        <w:jc w:val="both"/>
      </w:pPr>
      <w:r>
        <w:rPr>
          <w:rFonts w:ascii="Batang" w:cs="Batang" w:eastAsia="Batang" w:hAnsi="Batang"/>
          <w:sz w:val="21"/>
          <w:szCs w:val="21"/>
        </w:rPr>
        <w:t xml:space="preserve">스콜레의 일차적 의미는 멈춤, 곧 무언가에 매여 있지 않은 상태다. 여기서 자유로운 시간이라는 뜻이 나오고, 다시 그 시간에 하는 일—토론과 배움—이라는 뜻이 나오며, 마침내 그 배움이 이루어지는 장소라는 뜻으로 옮겨 간다. 여가에서 학교가 나온 것이지, 학교에서 여가가 나온 것이 아니다. 이 방향은 뒤집히지 않는다.</w:t>
      </w:r>
    </w:p>
    <w:p>
      <w:pPr>
        <w:spacing w:after="160" w:line="340"/>
        <w:ind w:firstLine="187"/>
        <w:jc w:val="both"/>
      </w:pPr>
      <w:r>
        <w:rPr>
          <w:rFonts w:ascii="Batang" w:cs="Batang" w:eastAsia="Batang" w:hAnsi="Batang"/>
          <w:sz w:val="21"/>
          <w:szCs w:val="21"/>
        </w:rPr>
        <w:t xml:space="preserve">부커는 스콜레가 여가와 교육이라는 두 의미로 함께 쓰였다고 정리한 바 있다.[1] 한국의 여가 교재들이 대체로 이 지점에서 출발하는 것도 같은 이유에서다. 여가는 비어 있는 시간이 아니라 채워지는 시간이었고, 무엇으로 채우는가가 곧 교육의 문제였다.</w:t>
      </w:r>
    </w:p>
    <w:p>
      <w:pPr>
        <w:spacing w:after="160" w:line="340"/>
        <w:ind w:firstLine="187"/>
        <w:jc w:val="both"/>
      </w:pPr>
      <w:r>
        <w:rPr>
          <w:rFonts w:ascii="Batang" w:cs="Batang" w:eastAsia="Batang" w:hAnsi="Batang"/>
          <w:sz w:val="21"/>
          <w:szCs w:val="21"/>
        </w:rPr>
        <w:t xml:space="preserve">그런데 스콜레의 성격을 더 선명하게 드러내는 것은 그 반대말 쪽이다. 그리스어에서 일을 뜻하는 낱말 가운데 하나가 아스콜리아(ἀσχολία)인데, 이는 스콜레에 부정 접두사 a-가 붙은 형태다. 문자 그대로 옮기면 여가 없음이다. 즉 그리스인들은 일을 먼저 정의하고 남은 시간을 여가라 부른 것이 아니라, 여가를 먼저 두고 그것이 결여된 상태를 일이라 불렀다. 무엇이 기준이고 무엇이 파생인지가 낱말 구조 안에 이미 새겨져 있다.</w:t>
      </w:r>
    </w:p>
    <w:p>
      <w:pPr>
        <w:spacing w:after="160" w:line="340"/>
        <w:ind w:firstLine="187"/>
        <w:jc w:val="both"/>
      </w:pPr>
      <w:r>
        <w:rPr>
          <w:rFonts w:ascii="Batang" w:cs="Batang" w:eastAsia="Batang" w:hAnsi="Batang"/>
          <w:sz w:val="21"/>
          <w:szCs w:val="21"/>
        </w:rPr>
        <w:t xml:space="preserve">아리스토텔레스가 『정치학』에서 전개한 논의도 이 구조 위에 서 있다. 그는 전쟁은 평화를 위해, 일은 여가를 위해 존재한다는 취지의 주장을 폈고, 시민 교육의 목적을 여가를 올바르게 쓸 줄 아는 능력에 두었다. 음악 교육을 논하는 대목에서 그가 던지는 질문—쓸모가 없는데도 왜 배워야 하는가—은 바로 이 맥락에서 나온다. 쓸모없음이야말로 여가에 속한 활동의 표지이며, 다른 무엇의 수단이 아닌 것만이 목적일 수 있다는 것이다. 『니코마코스 윤리학』 10권에서 관조(theōria)의 삶을 최고의 행복으로 놓는 논의도 같은 뿌리에서 나온다.[2]</w:t>
      </w:r>
    </w:p>
    <w:p>
      <w:pPr>
        <w:spacing w:after="160" w:line="340"/>
        <w:ind w:firstLine="187"/>
        <w:jc w:val="both"/>
      </w:pPr>
      <w:r>
        <w:rPr>
          <w:rFonts w:ascii="Batang" w:cs="Batang" w:eastAsia="Batang" w:hAnsi="Batang"/>
          <w:sz w:val="21"/>
          <w:szCs w:val="21"/>
        </w:rPr>
        <w:t xml:space="preserve">강의 현장에서 자주 인용되는 문장이 있다. "인간의 행복은 여가 속에 있으며, 여가를 누릴 수 있는 여건을 만드는 것이야말로 입법가의 의무요 교육의 목적이자 훌륭한 통치의 의지이다." 아리스토텔레스의 이름으로 널리 도는 말이고 취지도 그의 논의와 어긋나지 않지만, 이 형태 그대로의 원문 대응 구절을 확정하기는 어렵다. 여러 여가 교재를 거치며 다듬어진 요약문일 가능성이 높으므로, 인용할 때는 출처를 밝히거나 취지 인용임을 표시하는 편이 안전하겠다.[3]</w:t>
      </w:r>
    </w:p>
    <w:p>
      <w:pPr>
        <w:spacing w:after="160" w:line="340"/>
        <w:ind w:firstLine="187"/>
        <w:jc w:val="both"/>
      </w:pPr>
      <w:r>
        <w:rPr>
          <w:rFonts w:ascii="Batang" w:cs="Batang" w:eastAsia="Batang" w:hAnsi="Batang"/>
          <w:sz w:val="21"/>
          <w:szCs w:val="21"/>
        </w:rPr>
        <w:t xml:space="preserve">한 가지 더 짚어 둘 것이 있다. 그리스인이 스콜레를 누릴 수 있었던 것은 노예제 덕분이었다. 시민의 여가는 다른 사람의 노동 위에 세워졌고, 이 사실은 여가를 고귀한 것으로 예찬하는 모든 논의에 그늘을 드리운다. 여가가 늘 누군가의 대가로 성립한다는 감각은 오늘날에도 유효하다. 주말 프로그램을 진행하는 지도자에게 주말은 노동 시간이며, 명절 행사가 누군가의 명절을 앗아 간다는 사실은 현장에서 매번 확인된다.</w:t>
      </w:r>
    </w:p>
    <w:p>
      <w:pPr>
        <w:spacing w:after="160" w:line="340"/>
        <w:ind w:firstLine="187"/>
        <w:jc w:val="both"/>
      </w:pPr>
      <w:r>
        <w:rPr>
          <w:rFonts w:ascii="Batang" w:cs="Batang" w:eastAsia="Batang" w:hAnsi="Batang"/>
          <w:sz w:val="21"/>
          <w:szCs w:val="21"/>
        </w:rPr>
        <w:t xml:space="preserve">이 절이 이 책 전체에 남기는 것은 하나의 질문이다. 레크리에이션이 스콜레의 후예라면, 그것은 남는 시간을 메우는 기술이 아니라 그 자체로 교육이어야 한다. 4부에서 다룰 진행의 기술들은 이 질문에 답할 수 있을 때 비로소 기법 이상의 것이 된다.</w:t>
      </w:r>
    </w:p>
    <w:p>
      <w:pPr>
        <w:pStyle w:val="Heading2"/>
        <w:spacing w:after="160" w:before="400"/>
      </w:pPr>
      <w:r>
        <w:rPr>
          <w:rFonts w:ascii="Malgun Gothic" w:cs="Malgun Gothic" w:eastAsia="Malgun Gothic" w:hAnsi="Malgun Gothic"/>
          <w:b/>
          <w:bCs/>
          <w:color w:val="2F5496"/>
          <w:sz w:val="24"/>
          <w:szCs w:val="24"/>
        </w:rPr>
        <w:t xml:space="preserve">2. 오티움(otium)과 네고티움(negotium) — 일의 부재로 정의된 쉼</w:t>
      </w:r>
    </w:p>
    <w:p>
      <w:pPr>
        <w:spacing w:after="160" w:line="340"/>
        <w:ind w:firstLine="187"/>
        <w:jc w:val="both"/>
      </w:pPr>
      <w:r>
        <w:rPr>
          <w:rFonts w:ascii="Batang" w:cs="Batang" w:eastAsia="Batang" w:hAnsi="Batang"/>
          <w:sz w:val="21"/>
          <w:szCs w:val="21"/>
        </w:rPr>
        <w:t xml:space="preserve">로마인은 다른 길을 갔다. 라틴어 오티움(otium)은 공적 업무나 군사 활동에서 물러나 있는 상태를 가리켰다. 전투와 전투 사이, 원정에서 돌아온 뒤의 시간이 오티움이었다는 설명은 이 낱말의 군사적·정치적 배경을 잘 보여 준다.[4] 아무것도 하지 않음, 한가로움, 물러남이 그 핵심이다.</w:t>
      </w:r>
    </w:p>
    <w:p>
      <w:pPr>
        <w:spacing w:after="160" w:line="340"/>
        <w:ind w:firstLine="187"/>
        <w:jc w:val="both"/>
      </w:pPr>
      <w:r>
        <w:rPr>
          <w:rFonts w:ascii="Batang" w:cs="Batang" w:eastAsia="Batang" w:hAnsi="Batang"/>
          <w:sz w:val="21"/>
          <w:szCs w:val="21"/>
        </w:rPr>
        <w:t xml:space="preserve">여기서 로마어 특유의 조어가 나온다. 네고티움(negotium)은 nec(아니다)와 otium의 결합, 곧 오티움이 아닌 것이다. 이 낱말이 뜻하는 바가 일, 업무, 사업이다. 영어의 negotiate, negotiation이 여기서 나왔다.</w:t>
      </w:r>
    </w:p>
    <w:p>
      <w:pPr>
        <w:spacing w:after="160" w:line="340"/>
        <w:ind w:firstLine="187"/>
        <w:jc w:val="both"/>
      </w:pPr>
      <w:r>
        <w:rPr>
          <w:rFonts w:ascii="Batang" w:cs="Batang" w:eastAsia="Batang" w:hAnsi="Batang"/>
          <w:sz w:val="21"/>
          <w:szCs w:val="21"/>
        </w:rPr>
        <w:t xml:space="preserve">구조를 보면 그리스와 로마가 겹치는 듯하면서 어긋난다. 두 언어 모두 일을 여가의 부정형으로 만들었으니 형식은 같다. 그러나 내용이 다르다. 그리스의 스콜레는 채워야 할 시간이었고, 로마의 오티움은 비워진 상태였다. 스콜레가 목적이라면 오티움은 영역이다. 로마인에게 여가는 공적 삶에서 물러난 사적 공간이었고, 그 공간에서 무엇을 하는가는 상대적으로 열려 있었다.</w:t>
      </w:r>
    </w:p>
    <w:p>
      <w:pPr>
        <w:spacing w:after="160" w:line="340"/>
        <w:ind w:firstLine="187"/>
        <w:jc w:val="both"/>
      </w:pPr>
      <w:r>
        <w:rPr>
          <w:rFonts w:ascii="Batang" w:cs="Batang" w:eastAsia="Batang" w:hAnsi="Batang"/>
          <w:sz w:val="21"/>
          <w:szCs w:val="21"/>
        </w:rPr>
        <w:t xml:space="preserve">열려 있었기 때문에 평가도 갈렸다. 키케로가 말한 품위 있는 여가(otium cum dignitate)는 공직에서 물러난 이가 학문과 저술로 시간을 채우는 이상적인 상태를 가리킨다. 반면 같은 오티움이 나태(otiositas)로 기울면 곧바로 비난의 대상이 되었다. 여가 자체는 중립적이며 그것을 무엇으로 채우는가가 평가를 가른다는 감각이 여기서 뚜렷해진다.</w:t>
      </w:r>
    </w:p>
    <w:p>
      <w:pPr>
        <w:spacing w:after="160" w:line="340"/>
        <w:ind w:firstLine="187"/>
        <w:jc w:val="both"/>
      </w:pPr>
      <w:r>
        <w:rPr>
          <w:rFonts w:ascii="Batang" w:cs="Batang" w:eastAsia="Batang" w:hAnsi="Batang"/>
          <w:sz w:val="21"/>
          <w:szCs w:val="21"/>
        </w:rPr>
        <w:t xml:space="preserve">로마의 여가가 남긴 더 큰 교훈은 제도의 층위에 있다. 로마는 공공여가를 대규모로 조직한 최초의 사회였다. 목욕탕과 원형경기장, 전차 경주와 검투 경기는 시민의 불만을 관리하는 정치적 장치이기도 했다. 유베날리스가 빵과 서커스라는 표현으로 냉소한 것이 이 대목이다. 국가가 여가를 공급하기 시작하면 여가는 곧바로 통치의 문제가 된다.</w:t>
      </w:r>
    </w:p>
    <w:p>
      <w:pPr>
        <w:spacing w:after="160" w:line="340"/>
        <w:ind w:firstLine="187"/>
        <w:jc w:val="both"/>
      </w:pPr>
      <w:r>
        <w:rPr>
          <w:rFonts w:ascii="Batang" w:cs="Batang" w:eastAsia="Batang" w:hAnsi="Batang"/>
          <w:sz w:val="21"/>
          <w:szCs w:val="21"/>
        </w:rPr>
        <w:t xml:space="preserve">여가사(史)를 다루는 교재들이 로마의 여가를 로마 멸망의 원인 가운데 하나로 서술하는 것은 이러한 배경에서다. 다만 이 서술은 조심스럽게 다룰 필요가 있다. 제국의 쇠퇴를 여가의 타락으로 설명하는 도식은 18세기 이래의 도덕적 역사 서술에 기대고 있고, 현대 로마사 연구에서는 그대로 받아들여지지 않는다. 이 책에서는 인과 주장으로서가 아니라, 여가가 정치적으로 관리될 때 생기는 문제의 사례로 읽는다. 그 문제는 오늘의 지자체 축제와 기업 행사에서도 되풀이되기 때문이다. 참가자를 즐겁게 하는 일과 참가자의 불만을 무마하는 일은 겉보기에 비슷하지만 전혀 다른 일이다.</w:t>
      </w:r>
    </w:p>
    <w:p>
      <w:pPr>
        <w:pStyle w:val="Heading2"/>
        <w:spacing w:after="160" w:before="400"/>
      </w:pPr>
      <w:r>
        <w:rPr>
          <w:rFonts w:ascii="Malgun Gothic" w:cs="Malgun Gothic" w:eastAsia="Malgun Gothic" w:hAnsi="Malgun Gothic"/>
          <w:b/>
          <w:bCs/>
          <w:color w:val="2F5496"/>
          <w:sz w:val="24"/>
          <w:szCs w:val="24"/>
        </w:rPr>
        <w:t xml:space="preserve">3. 리케레(licere) — 허락된 자유</w:t>
      </w:r>
    </w:p>
    <w:p>
      <w:pPr>
        <w:spacing w:after="160" w:line="340"/>
        <w:ind w:firstLine="187"/>
        <w:jc w:val="both"/>
      </w:pPr>
      <w:r>
        <w:rPr>
          <w:rFonts w:ascii="Batang" w:cs="Batang" w:eastAsia="Batang" w:hAnsi="Batang"/>
          <w:sz w:val="21"/>
          <w:szCs w:val="21"/>
        </w:rPr>
        <w:t xml:space="preserve">영어 leisure의 계보는 또 다르다. 라틴어 리케레(licere)는 허락되다, 허용되다를 뜻하는 동사다. 여기서 licentia가 나오고, 고대 프랑스어 leisir를 거쳐 중세 영어에 leisure로 정착했다. 같은 뿌리에서 나온 낱말이 license와 illicit이다.</w:t>
      </w:r>
    </w:p>
    <w:p>
      <w:pPr>
        <w:spacing w:after="160" w:line="340"/>
        <w:ind w:firstLine="187"/>
        <w:jc w:val="both"/>
      </w:pPr>
      <w:r>
        <w:rPr>
          <w:rFonts w:ascii="Batang" w:cs="Batang" w:eastAsia="Batang" w:hAnsi="Batang"/>
          <w:sz w:val="21"/>
          <w:szCs w:val="21"/>
        </w:rPr>
        <w:t xml:space="preserve">이 계보는 중요한 것을 알려 준다. leisure의 중심 의미는 자유가 아니라 허락된 자유다. 허락에는 허락하는 주체가 있다. 무엇이 허락되었다는 말은 곧 허락되지 않은 것도 있다는 말이며, 허락의 범위를 정하는 힘이 어딘가에 있다는 말이다. 여가를 자유의 영역으로만 낭만화하는 서술이 놓치는 지점이 여기다.</w:t>
      </w:r>
    </w:p>
    <w:p>
      <w:pPr>
        <w:spacing w:after="160" w:line="340"/>
        <w:ind w:firstLine="187"/>
        <w:jc w:val="both"/>
      </w:pPr>
      <w:r>
        <w:rPr>
          <w:rFonts w:ascii="Batang" w:cs="Batang" w:eastAsia="Batang" w:hAnsi="Batang"/>
          <w:sz w:val="21"/>
          <w:szCs w:val="21"/>
        </w:rPr>
        <w:t xml:space="preserve">근대의 여가가 실제로 이렇게 만들어졌다. 노동시간을 정하는 법, 주말과 휴일을 지정하는 제도, 연차와 정년이 사람들의 자유 시간을 만들어 냈다. 여가가 늘어난 것은 사람들이 여가를 원해서가 아니라 제도가 그것을 허락했기 때문이다. 강의안에서 자유 시간이 생기는 이유로 경제적 소유, 기계문명의 발달, 강요된 무위, 은퇴와 실직, 과업 수행 후의 휴식을 나란히 꼽은 것도 같은 통찰에 닿아 있다.[5] 은퇴와 실직이 여가의 발생 조건에 함께 놓여 있다는 사실은 곱씹을 만하다. 허락된 자유와 떠밀린 자유는 시간의 형태로는 구분되지 않는다.</w:t>
      </w:r>
    </w:p>
    <w:p>
      <w:pPr>
        <w:spacing w:after="160" w:line="340"/>
        <w:ind w:firstLine="187"/>
        <w:jc w:val="both"/>
      </w:pPr>
      <w:r>
        <w:rPr>
          <w:rFonts w:ascii="Batang" w:cs="Batang" w:eastAsia="Batang" w:hAnsi="Batang"/>
          <w:sz w:val="21"/>
          <w:szCs w:val="21"/>
        </w:rPr>
        <w:t xml:space="preserve">지도 현장에서 이 어원은 뜻밖에 실용적이다. 프로그램에 온 사람은 모두 허락받고 온 사람이다. 직장에서 보내서 온 사람, 기관이 신청해서 온 사람, 가족의 양해를 얻고 온 사람의 참여 태도는 같을 수 없다. 워크숍 첫 시간의 냉랭함이 참가자의 성격 문제가 아니라 허락의 조건 문제인 경우가 대부분이다. 누가 이 자리를 허락했고 참가자는 그 허락을 어떻게 받아들이고 있는가. 이 질문은 7장에서 다룰 여가 제약 논의로 곧장 이어진다. 제약이란 결국 허락의 조건을 뒤집어 본 것이기 때문이다.</w:t>
      </w:r>
    </w:p>
    <w:p>
      <w:pPr>
        <w:pStyle w:val="Heading2"/>
        <w:spacing w:after="160" w:before="400"/>
      </w:pPr>
      <w:r>
        <w:rPr>
          <w:rFonts w:ascii="Malgun Gothic" w:cs="Malgun Gothic" w:eastAsia="Malgun Gothic" w:hAnsi="Malgun Gothic"/>
          <w:b/>
          <w:bCs/>
          <w:color w:val="2F5496"/>
          <w:sz w:val="24"/>
          <w:szCs w:val="24"/>
        </w:rPr>
        <w:t xml:space="preserve">4. 리크리에이션(re-creation) — 회복과 재창조</w:t>
      </w:r>
    </w:p>
    <w:p>
      <w:pPr>
        <w:spacing w:after="160" w:line="340"/>
        <w:ind w:firstLine="187"/>
        <w:jc w:val="both"/>
      </w:pPr>
      <w:r>
        <w:rPr>
          <w:rFonts w:ascii="Batang" w:cs="Batang" w:eastAsia="Batang" w:hAnsi="Batang"/>
          <w:sz w:val="21"/>
          <w:szCs w:val="21"/>
        </w:rPr>
        <w:t xml:space="preserve">recreation은 라틴어 recreare에서 왔다. re(다시)와 creare(만들다, 낳다)의 결합이니 다시 만들다, 되살리다가 문자적 의미이고, 명사형 recreatio는 중세 라틴에서 건강과 기력의 회복을 뜻했다. 영어에 들어온 14세기 무렵에도 음식이나 휴식으로 원기를 되찾는 일을 가리켰고, 기분전환 활동이라는 오늘의 뜻은 그 뒤에 자리 잡았다.</w:t>
      </w:r>
    </w:p>
    <w:p>
      <w:pPr>
        <w:spacing w:after="160" w:line="340"/>
        <w:ind w:firstLine="187"/>
        <w:jc w:val="both"/>
      </w:pPr>
      <w:r>
        <w:rPr>
          <w:rFonts w:ascii="Batang" w:cs="Batang" w:eastAsia="Batang" w:hAnsi="Batang"/>
          <w:sz w:val="21"/>
          <w:szCs w:val="21"/>
        </w:rPr>
        <w:t xml:space="preserve">여기서 해석이 두 갈래로 갈린다.</w:t>
      </w:r>
    </w:p>
    <w:p>
      <w:pPr>
        <w:spacing w:after="160" w:line="340"/>
        <w:ind w:firstLine="187"/>
        <w:jc w:val="both"/>
      </w:pPr>
      <w:r>
        <w:rPr>
          <w:rFonts w:ascii="Batang" w:cs="Batang" w:eastAsia="Batang" w:hAnsi="Batang"/>
          <w:sz w:val="21"/>
          <w:szCs w:val="21"/>
        </w:rPr>
        <w:t xml:space="preserve">첫째는 회복이다. 소모된 것을 되채운다는 뜻이다. 이 해석에서 레크리에이션은 노동에 종속된다. 내일 다시 일하기 위해 오늘 정비하는 시간이고, 산업화 이후의 여가 정책과 기업 복지가 대체로 이 틀 안에서 움직였다. 실용적이고 설득력도 있지만, 이 틀을 끝까지 밀고 가면 레크리에이션은 사기 진작의 도구로 축소된다. 그러면 4부에서 다룰 진행 기술은 사람을 잘 부리기 위한 기법이 되고, 지도자는 분위기 관리자가 된다. 현장에서 느끼는 어떤 공허함의 출처가 대개 여기다.</w:t>
      </w:r>
    </w:p>
    <w:p>
      <w:pPr>
        <w:spacing w:after="160" w:line="340"/>
        <w:ind w:firstLine="187"/>
        <w:jc w:val="both"/>
      </w:pPr>
      <w:r>
        <w:rPr>
          <w:rFonts w:ascii="Batang" w:cs="Batang" w:eastAsia="Batang" w:hAnsi="Batang"/>
          <w:sz w:val="21"/>
          <w:szCs w:val="21"/>
        </w:rPr>
        <w:t xml:space="preserve">둘째는 재창조다. 하이픈을 넣어 re-creation으로 읽는 방식이며, 소모된 것을 되채우는 데 그치지 않고 사람이 다시 만들어진다고 본다. 놀이를 통해 관계가 새로 세워지고 자기 인식이 바뀌는 국면을 설명하려면 이 해석이 필요하다. 이 독법은 신학적 함의도 갖는데, 창조와 안식의 회복이라는 주제로 확장되는 논의는 부록 A에서 따로 다룬다.</w:t>
      </w:r>
    </w:p>
    <w:p>
      <w:pPr>
        <w:spacing w:after="160" w:line="340"/>
        <w:ind w:firstLine="187"/>
        <w:jc w:val="both"/>
      </w:pPr>
      <w:r>
        <w:rPr>
          <w:rFonts w:ascii="Batang" w:cs="Batang" w:eastAsia="Batang" w:hAnsi="Batang"/>
          <w:sz w:val="21"/>
          <w:szCs w:val="21"/>
        </w:rPr>
        <w:t xml:space="preserve">두 해석 가운데 하나만 옳다고 말할 필요는 없다. 다만 지도자가 자기 일을 어느 쪽으로 이해하는가에 따라 프로그램의 마무리가 달라진다. 15장에서 다루겠지만, 진행의 마지막 단계에서 무엇을 회복시키려 하는지가 그 프로그램의 성격을 사실상 결정한다. 체력인가, 기분인가, 관계인가, 아니면 자기 자신에 대한 감각인가.</w:t>
      </w:r>
    </w:p>
    <w:p>
      <w:pPr>
        <w:spacing w:after="160" w:line="340"/>
        <w:ind w:firstLine="187"/>
        <w:jc w:val="both"/>
      </w:pPr>
      <w:r>
        <w:rPr>
          <w:rFonts w:ascii="Batang" w:cs="Batang" w:eastAsia="Batang" w:hAnsi="Batang"/>
          <w:sz w:val="21"/>
          <w:szCs w:val="21"/>
        </w:rPr>
        <w:t xml:space="preserve">번역의 문제도 짚어 둔다. recreation을 오락으로 옮기면 재창조의 함의가 통째로 사라진다. 위락은 더 좁고, 여가활동은 상위 개념과 겹친다. 한국에서 이 말이 결국 음차인 레크리에이션으로 정착한 것은 마땅한 번역어를 찾지 못한 결과이기도 하다. 번역어가 없다는 사실 자체가 이 개념이 한국어 안에 자기 자리를 갖지 못했음을 보여 준다.</w:t>
      </w:r>
    </w:p>
    <w:p>
      <w:pPr>
        <w:pStyle w:val="Heading2"/>
        <w:spacing w:after="160" w:before="400"/>
      </w:pPr>
      <w:r>
        <w:rPr>
          <w:rFonts w:ascii="Malgun Gothic" w:cs="Malgun Gothic" w:eastAsia="Malgun Gothic" w:hAnsi="Malgun Gothic"/>
          <w:b/>
          <w:bCs/>
          <w:color w:val="2F5496"/>
          <w:sz w:val="24"/>
          <w:szCs w:val="24"/>
        </w:rPr>
        <w:t xml:space="preserve">5. 어원의 대비가 드러내는 여가관의 세 갈래</w:t>
      </w:r>
    </w:p>
    <w:p>
      <w:pPr>
        <w:spacing w:after="160" w:line="340"/>
        <w:ind w:firstLine="187"/>
        <w:jc w:val="both"/>
      </w:pPr>
      <w:r>
        <w:rPr>
          <w:rFonts w:ascii="Batang" w:cs="Batang" w:eastAsia="Batang" w:hAnsi="Batang"/>
          <w:sz w:val="21"/>
          <w:szCs w:val="21"/>
        </w:rPr>
        <w:t xml:space="preserve">지금까지의 논의를 나란히 놓으면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1900"/>
        <w:gridCol w:w="2280"/>
        <w:gridCol w:w="2180"/>
      </w:tblGrid>
      <w:tr>
        <w:trPr>
          <w:tblHeader/>
        </w:trPr>
        <w:tc>
          <w:tcPr>
            <w:tcW w:type="dxa" w:w="1450"/>
            <w:shd w:fill="DCE6F1" w:color="auto" w:val="clear"/>
            <w:tcMar>
              <w:top w:type="dxa" w:w="90"/>
              <w:left w:type="dxa" w:w="100"/>
              <w:bottom w:type="dxa" w:w="90"/>
              <w:right w:type="dxa" w:w="100"/>
            </w:tcMar>
          </w:tcPr>
          <w:p>
            <w:pPr>
              <w:spacing w:after="0" w:line="264"/>
              <w:jc w:val="center"/>
            </w:pPr>
            <w:r>
              <w:rPr>
                <w:rFonts w:ascii="Malgun Gothic" w:cs="Malgun Gothic" w:eastAsia="Malgun Gothic" w:hAnsi="Malgun Gothic"/>
                <w:b/>
                <w:bCs/>
                <w:sz w:val="17"/>
                <w:szCs w:val="17"/>
              </w:rPr>
              <w:t xml:space="preserve">낱말</w:t>
            </w:r>
          </w:p>
        </w:tc>
        <w:tc>
          <w:tcPr>
            <w:tcW w:type="dxa" w:w="1550"/>
            <w:shd w:fill="DCE6F1" w:color="auto" w:val="clear"/>
            <w:tcMar>
              <w:top w:type="dxa" w:w="90"/>
              <w:left w:type="dxa" w:w="100"/>
              <w:bottom w:type="dxa" w:w="90"/>
              <w:right w:type="dxa" w:w="100"/>
            </w:tcMar>
          </w:tcPr>
          <w:p>
            <w:pPr>
              <w:spacing w:after="0" w:line="264"/>
              <w:jc w:val="center"/>
            </w:pPr>
            <w:r>
              <w:rPr>
                <w:rFonts w:ascii="Malgun Gothic" w:cs="Malgun Gothic" w:eastAsia="Malgun Gothic" w:hAnsi="Malgun Gothic"/>
                <w:b/>
                <w:bCs/>
                <w:sz w:val="17"/>
                <w:szCs w:val="17"/>
              </w:rPr>
              <w:t xml:space="preserve">언어</w:t>
            </w:r>
          </w:p>
        </w:tc>
        <w:tc>
          <w:tcPr>
            <w:tcW w:type="dxa" w:w="1900"/>
            <w:shd w:fill="DCE6F1" w:color="auto" w:val="clear"/>
            <w:tcMar>
              <w:top w:type="dxa" w:w="90"/>
              <w:left w:type="dxa" w:w="100"/>
              <w:bottom w:type="dxa" w:w="90"/>
              <w:right w:type="dxa" w:w="100"/>
            </w:tcMar>
          </w:tcPr>
          <w:p>
            <w:pPr>
              <w:spacing w:after="0" w:line="264"/>
              <w:jc w:val="center"/>
            </w:pPr>
            <w:r>
              <w:rPr>
                <w:rFonts w:ascii="Malgun Gothic" w:cs="Malgun Gothic" w:eastAsia="Malgun Gothic" w:hAnsi="Malgun Gothic"/>
                <w:b/>
                <w:bCs/>
                <w:sz w:val="17"/>
                <w:szCs w:val="17"/>
              </w:rPr>
              <w:t xml:space="preserve">문자적 의미</w:t>
            </w:r>
          </w:p>
        </w:tc>
        <w:tc>
          <w:tcPr>
            <w:tcW w:type="dxa" w:w="2280"/>
            <w:shd w:fill="DCE6F1" w:color="auto" w:val="clear"/>
            <w:tcMar>
              <w:top w:type="dxa" w:w="90"/>
              <w:left w:type="dxa" w:w="100"/>
              <w:bottom w:type="dxa" w:w="90"/>
              <w:right w:type="dxa" w:w="100"/>
            </w:tcMar>
          </w:tcPr>
          <w:p>
            <w:pPr>
              <w:spacing w:after="0" w:line="264"/>
              <w:jc w:val="center"/>
            </w:pPr>
            <w:r>
              <w:rPr>
                <w:rFonts w:ascii="Malgun Gothic" w:cs="Malgun Gothic" w:eastAsia="Malgun Gothic" w:hAnsi="Malgun Gothic"/>
                <w:b/>
                <w:bCs/>
                <w:sz w:val="17"/>
                <w:szCs w:val="17"/>
              </w:rPr>
              <w:t xml:space="preserve">일과의 관계</w:t>
            </w:r>
          </w:p>
        </w:tc>
        <w:tc>
          <w:tcPr>
            <w:tcW w:type="dxa" w:w="2180"/>
            <w:shd w:fill="DCE6F1" w:color="auto" w:val="clear"/>
            <w:tcMar>
              <w:top w:type="dxa" w:w="90"/>
              <w:left w:type="dxa" w:w="100"/>
              <w:bottom w:type="dxa" w:w="90"/>
              <w:right w:type="dxa" w:w="100"/>
            </w:tcMar>
          </w:tcPr>
          <w:p>
            <w:pPr>
              <w:spacing w:after="0" w:line="264"/>
              <w:jc w:val="center"/>
            </w:pPr>
            <w:r>
              <w:rPr>
                <w:rFonts w:ascii="Malgun Gothic" w:cs="Malgun Gothic" w:eastAsia="Malgun Gothic" w:hAnsi="Malgun Gothic"/>
                <w:b/>
                <w:bCs/>
                <w:sz w:val="17"/>
                <w:szCs w:val="17"/>
              </w:rPr>
              <w:t xml:space="preserve">여가를 규정하는 방식</w:t>
            </w:r>
          </w:p>
        </w:tc>
      </w:tr>
      <w:tr>
        <w:tc>
          <w:tcPr>
            <w:tcW w:type="dxa" w:w="1450"/>
            <w:tcMar>
              <w:top w:type="dxa" w:w="90"/>
              <w:left w:type="dxa" w:w="100"/>
              <w:bottom w:type="dxa" w:w="90"/>
              <w:right w:type="dxa" w:w="100"/>
            </w:tcMar>
          </w:tcPr>
          <w:p>
            <w:pPr>
              <w:spacing w:after="0" w:line="264"/>
            </w:pPr>
            <w:r>
              <w:rPr>
                <w:rFonts w:ascii="Malgun Gothic" w:cs="Malgun Gothic" w:eastAsia="Malgun Gothic" w:hAnsi="Malgun Gothic"/>
                <w:b/>
                <w:bCs/>
                <w:sz w:val="17"/>
                <w:szCs w:val="17"/>
              </w:rPr>
              <w:t xml:space="preserve">스콜레 scholē</w:t>
            </w:r>
          </w:p>
        </w:tc>
        <w:tc>
          <w:tcPr>
            <w:tcW w:type="dxa" w:w="155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그리스어</w:t>
            </w:r>
          </w:p>
        </w:tc>
        <w:tc>
          <w:tcPr>
            <w:tcW w:type="dxa" w:w="190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멈춤, 배움의 시간</w:t>
            </w:r>
          </w:p>
        </w:tc>
        <w:tc>
          <w:tcPr>
            <w:tcW w:type="dxa" w:w="22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일(ascholia)이 여가의 결여</w:t>
            </w:r>
          </w:p>
        </w:tc>
        <w:tc>
          <w:tcPr>
            <w:tcW w:type="dxa" w:w="21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목적 — 여가가 삶의 지향점</w:t>
            </w:r>
          </w:p>
        </w:tc>
      </w:tr>
      <w:tr>
        <w:tc>
          <w:tcPr>
            <w:tcW w:type="dxa" w:w="1450"/>
            <w:tcMar>
              <w:top w:type="dxa" w:w="90"/>
              <w:left w:type="dxa" w:w="100"/>
              <w:bottom w:type="dxa" w:w="90"/>
              <w:right w:type="dxa" w:w="100"/>
            </w:tcMar>
          </w:tcPr>
          <w:p>
            <w:pPr>
              <w:spacing w:after="0" w:line="264"/>
            </w:pPr>
            <w:r>
              <w:rPr>
                <w:rFonts w:ascii="Malgun Gothic" w:cs="Malgun Gothic" w:eastAsia="Malgun Gothic" w:hAnsi="Malgun Gothic"/>
                <w:b/>
                <w:bCs/>
                <w:sz w:val="17"/>
                <w:szCs w:val="17"/>
              </w:rPr>
              <w:t xml:space="preserve">오티움 otium</w:t>
            </w:r>
          </w:p>
        </w:tc>
        <w:tc>
          <w:tcPr>
            <w:tcW w:type="dxa" w:w="155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라틴어</w:t>
            </w:r>
          </w:p>
        </w:tc>
        <w:tc>
          <w:tcPr>
            <w:tcW w:type="dxa" w:w="190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물러남, 한가로움</w:t>
            </w:r>
          </w:p>
        </w:tc>
        <w:tc>
          <w:tcPr>
            <w:tcW w:type="dxa" w:w="22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일(negotium)이 여가의 부정형</w:t>
            </w:r>
          </w:p>
        </w:tc>
        <w:tc>
          <w:tcPr>
            <w:tcW w:type="dxa" w:w="21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영역 — 공적 삶 바깥의 사적 공간</w:t>
            </w:r>
          </w:p>
        </w:tc>
      </w:tr>
      <w:tr>
        <w:tc>
          <w:tcPr>
            <w:tcW w:type="dxa" w:w="1450"/>
            <w:tcMar>
              <w:top w:type="dxa" w:w="90"/>
              <w:left w:type="dxa" w:w="100"/>
              <w:bottom w:type="dxa" w:w="90"/>
              <w:right w:type="dxa" w:w="100"/>
            </w:tcMar>
          </w:tcPr>
          <w:p>
            <w:pPr>
              <w:spacing w:after="0" w:line="264"/>
            </w:pPr>
            <w:r>
              <w:rPr>
                <w:rFonts w:ascii="Malgun Gothic" w:cs="Malgun Gothic" w:eastAsia="Malgun Gothic" w:hAnsi="Malgun Gothic"/>
                <w:b/>
                <w:bCs/>
                <w:sz w:val="17"/>
                <w:szCs w:val="17"/>
              </w:rPr>
              <w:t xml:space="preserve">리케레 licere</w:t>
            </w:r>
          </w:p>
        </w:tc>
        <w:tc>
          <w:tcPr>
            <w:tcW w:type="dxa" w:w="155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라틴어 → 영어 leisure</w:t>
            </w:r>
          </w:p>
        </w:tc>
        <w:tc>
          <w:tcPr>
            <w:tcW w:type="dxa" w:w="190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허락됨</w:t>
            </w:r>
          </w:p>
        </w:tc>
        <w:tc>
          <w:tcPr>
            <w:tcW w:type="dxa" w:w="22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제도가 노동 시간을 정하고 남긴 것</w:t>
            </w:r>
          </w:p>
        </w:tc>
        <w:tc>
          <w:tcPr>
            <w:tcW w:type="dxa" w:w="21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제도 — 허락의 산물</w:t>
            </w:r>
          </w:p>
        </w:tc>
      </w:tr>
      <w:tr>
        <w:tc>
          <w:tcPr>
            <w:tcW w:type="dxa" w:w="1450"/>
            <w:tcMar>
              <w:top w:type="dxa" w:w="90"/>
              <w:left w:type="dxa" w:w="100"/>
              <w:bottom w:type="dxa" w:w="90"/>
              <w:right w:type="dxa" w:w="100"/>
            </w:tcMar>
          </w:tcPr>
          <w:p>
            <w:pPr>
              <w:spacing w:after="0" w:line="264"/>
            </w:pPr>
            <w:r>
              <w:rPr>
                <w:rFonts w:ascii="Malgun Gothic" w:cs="Malgun Gothic" w:eastAsia="Malgun Gothic" w:hAnsi="Malgun Gothic"/>
                <w:b/>
                <w:bCs/>
                <w:sz w:val="17"/>
                <w:szCs w:val="17"/>
              </w:rPr>
              <w:t xml:space="preserve">리크리에아레 recreare</w:t>
            </w:r>
          </w:p>
        </w:tc>
        <w:tc>
          <w:tcPr>
            <w:tcW w:type="dxa" w:w="155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라틴어 → 영어 recreation</w:t>
            </w:r>
          </w:p>
        </w:tc>
        <w:tc>
          <w:tcPr>
            <w:tcW w:type="dxa" w:w="190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다시 만듦</w:t>
            </w:r>
          </w:p>
        </w:tc>
        <w:tc>
          <w:tcPr>
            <w:tcW w:type="dxa" w:w="22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노동으로 소모된 것의 회복</w:t>
            </w:r>
          </w:p>
        </w:tc>
        <w:tc>
          <w:tcPr>
            <w:tcW w:type="dxa" w:w="2180"/>
            <w:tcMar>
              <w:top w:type="dxa" w:w="90"/>
              <w:left w:type="dxa" w:w="100"/>
              <w:bottom w:type="dxa" w:w="90"/>
              <w:right w:type="dxa" w:w="100"/>
            </w:tcMar>
          </w:tcPr>
          <w:p>
            <w:pPr>
              <w:spacing w:after="0" w:line="264"/>
            </w:pPr>
            <w:r>
              <w:rPr>
                <w:rFonts w:ascii="Malgun Gothic" w:cs="Malgun Gothic" w:eastAsia="Malgun Gothic" w:hAnsi="Malgun Gothic"/>
                <w:b w:val="false"/>
                <w:bCs w:val="false"/>
                <w:sz w:val="17"/>
                <w:szCs w:val="17"/>
              </w:rPr>
              <w:t xml:space="preserve">기능 — 회복 또는 재창조</w:t>
            </w:r>
          </w:p>
        </w:tc>
      </w:tr>
    </w:tbl>
    <w:p>
      <w:pPr>
        <w:spacing w:after="120"/>
      </w:pPr>
      <w:r>
        <w:t xml:space="preserve"/>
      </w:r>
    </w:p>
    <w:p>
      <w:pPr>
        <w:spacing w:after="160" w:line="340"/>
        <w:ind w:firstLine="187"/>
        <w:jc w:val="both"/>
      </w:pPr>
      <w:r>
        <w:rPr>
          <w:rFonts w:ascii="Batang" w:cs="Batang" w:eastAsia="Batang" w:hAnsi="Batang"/>
          <w:sz w:val="21"/>
          <w:szCs w:val="21"/>
        </w:rPr>
        <w:t xml:space="preserve">세 갈래라 부른 것은 앞의 셋이 서로 다른 층위에서 여가를 규정하기 때문이다. 스콜레는 여가가 무엇을 위한 것인지를 묻고(목적론), 오티움은 여가가 삶의 어느 자리에 있는지를 묻고(영역론), 리케레는 여가가 어떻게 가능해졌는지를 묻는다(제도론). 셋은 경쟁하는 정의가 아니라 서로 다른 질문이며, 그래서 함께 놓을 수 있다.</w:t>
      </w:r>
    </w:p>
    <w:p>
      <w:pPr>
        <w:spacing w:after="160" w:line="340"/>
        <w:ind w:firstLine="187"/>
        <w:jc w:val="both"/>
      </w:pPr>
      <w:r>
        <w:rPr>
          <w:rFonts w:ascii="Batang" w:cs="Batang" w:eastAsia="Batang" w:hAnsi="Batang"/>
          <w:sz w:val="21"/>
          <w:szCs w:val="21"/>
        </w:rPr>
        <w:t xml:space="preserve">이 구분은 여가를 규정하는 네 가지 방식—시간, 활동, 생활 영역, 주관적 심리 상태—과도 맞물린다. 강의 현장에서 오래 쓰여 온 이 4분법은 사실 어원의 갈래를 현대적으로 재배열한 것에 가깝다. 뒤마제디에가 여가를 "일, 가정, 사회의 의무로부터 벗어나 의도적으로 휴식, 기분전환, 창의력을 발휘할 수 있는 자발적인 활동"으로 규정한 것은 활동 규정에 해당하고,[6] 여가를 마음의 상태로 보아 일하는 중에도 여가를 경험할 수 있다고 보는 관점은 심리 규정에 해당한다. 후자는 아리스토텔레스의 스콜레에 가장 가깝다. 직업으로 예술 활동을 하는 사람에게 노동과 여가의 경계가 흐려지는 사례가 이 규정의 힘을 보여 준다.</w:t>
      </w:r>
    </w:p>
    <w:p>
      <w:pPr>
        <w:spacing w:after="160" w:line="340"/>
        <w:ind w:firstLine="187"/>
        <w:jc w:val="both"/>
      </w:pPr>
      <w:r>
        <w:rPr>
          <w:rFonts w:ascii="Batang" w:cs="Batang" w:eastAsia="Batang" w:hAnsi="Batang"/>
          <w:sz w:val="21"/>
          <w:szCs w:val="21"/>
        </w:rPr>
        <w:t xml:space="preserve">지도자에게 실질적으로 필요한 것은 이 가운데 하나를 고르는 일이 아니라, 지금 자기가 어느 규정 위에서 프로그램을 짜고 있는지를 아는 일이다. 시간 규정에 서면 프로그램은 채워야 할 분량이 되고, 활동 규정에 서면 무엇을 하느냐의 문제가 되며, 심리 규정에 서면 참가자가 무엇을 느꼈느냐가 기준이 된다. 같은 90분을 놓고도 성공의 정의가 달라진다.</w:t>
      </w:r>
    </w:p>
    <w:p>
      <w:pPr>
        <w:pStyle w:val="Heading2"/>
        <w:spacing w:after="160" w:before="400"/>
      </w:pPr>
      <w:r>
        <w:rPr>
          <w:rFonts w:ascii="Malgun Gothic" w:cs="Malgun Gothic" w:eastAsia="Malgun Gothic" w:hAnsi="Malgun Gothic"/>
          <w:b/>
          <w:bCs/>
          <w:color w:val="2F5496"/>
          <w:sz w:val="24"/>
          <w:szCs w:val="24"/>
        </w:rPr>
        <w:t xml:space="preserve">6. 그리고 한국어 '여가' — 잔여로서의 시간</w:t>
      </w:r>
    </w:p>
    <w:p>
      <w:pPr>
        <w:spacing w:after="160" w:line="340"/>
        <w:ind w:firstLine="187"/>
        <w:jc w:val="both"/>
      </w:pPr>
      <w:r>
        <w:rPr>
          <w:rFonts w:ascii="Batang" w:cs="Batang" w:eastAsia="Batang" w:hAnsi="Batang"/>
          <w:sz w:val="21"/>
          <w:szCs w:val="21"/>
        </w:rPr>
        <w:t xml:space="preserve">마지막으로 우리말을 놓아 본다. 여가(餘暇)는 남을 여(餘)와 겨를 가(暇)로 이루어져 있다. 국어사전은 이를 겨를, 틈, 짬으로 풀이한다. 뜻이 겹치는 순우리말도 모두 같은 방향이다. 겨를은 일에서 벗어난 짧은 사이이고, 틈은 무엇과 무엇 사이의 빈 곳이며, 짬은 쪼개어 낸 시간이다.</w:t>
      </w:r>
    </w:p>
    <w:p>
      <w:pPr>
        <w:spacing w:after="160" w:line="340"/>
        <w:ind w:firstLine="187"/>
        <w:jc w:val="both"/>
      </w:pPr>
      <w:r>
        <w:rPr>
          <w:rFonts w:ascii="Batang" w:cs="Batang" w:eastAsia="Batang" w:hAnsi="Batang"/>
          <w:sz w:val="21"/>
          <w:szCs w:val="21"/>
        </w:rPr>
        <w:t xml:space="preserve">구조가 앞의 어느 계열과도 다르다. 그리스어는 여가를 기준에 놓았고, 라틴어는 여가를 공적 업무의 반대편에 놓았으며, 영어는 여가를 허락의 산물로 보았다. 한국어의 여가는 남은 것이다. 무엇이 먼저 있고 그것을 하고 나서 남는 것. 기준은 명백히 일 쪽에 있다.</w:t>
      </w:r>
    </w:p>
    <w:p>
      <w:pPr>
        <w:spacing w:after="160" w:line="340"/>
        <w:ind w:firstLine="187"/>
        <w:jc w:val="both"/>
      </w:pPr>
      <w:r>
        <w:rPr>
          <w:rFonts w:ascii="Batang" w:cs="Batang" w:eastAsia="Batang" w:hAnsi="Batang"/>
          <w:sz w:val="21"/>
          <w:szCs w:val="21"/>
        </w:rPr>
        <w:t xml:space="preserve">이 감각에 가장 충실한 정의가 우리 여가 교육 안에도 이미 있다. "여가는 남은 시간이고, 레크리에이션은 여가를 선용하는 다양한 방법이다."[7] 간결하고 실용적이며, 한국어 화자에게 즉시 이해된다. 그 즉각적인 이해 자체가 이 정의가 우리말의 결을 정확히 짚고 있음을 보여 준다.</w:t>
      </w:r>
    </w:p>
    <w:p>
      <w:pPr>
        <w:spacing w:after="160" w:line="340"/>
        <w:ind w:firstLine="187"/>
        <w:jc w:val="both"/>
      </w:pPr>
      <w:r>
        <w:rPr>
          <w:rFonts w:ascii="Batang" w:cs="Batang" w:eastAsia="Batang" w:hAnsi="Batang"/>
          <w:sz w:val="21"/>
          <w:szCs w:val="21"/>
        </w:rPr>
        <w:t xml:space="preserve">다만 잔여 개념은 대가를 치른다. 남는 것은 언제나 가장 먼저 양보되기 때문이다. 일정이 밀리면 줄어드는 것이 레크리에이션 시간이고, 예산이 깎이면 먼저 잘리는 것이 여가 프로그램이며, 조직에서 레크리에이션 담당자의 지위가 낮게 매겨지는 것도 같은 논리의 연장이다. 현장에서 익숙하게 듣는 말들—놀아 주는 사람, 시간 때우기, 분위기 띄우기—은 개인의 무례에서 나온다기보다 이 낱말의 구조에서 나온다고 보는 편이 정확하겠다.</w:t>
      </w:r>
    </w:p>
    <w:p>
      <w:pPr>
        <w:spacing w:after="160" w:line="340"/>
        <w:ind w:firstLine="187"/>
        <w:jc w:val="both"/>
      </w:pPr>
      <w:r>
        <w:rPr>
          <w:rFonts w:ascii="Batang" w:cs="Batang" w:eastAsia="Batang" w:hAnsi="Batang"/>
          <w:sz w:val="21"/>
          <w:szCs w:val="21"/>
        </w:rPr>
        <w:t xml:space="preserve">그렇다면 어떻게 할 것인가. 낱말을 바꾸자는 제안은 현실성이 낮다. 이 책이 택하는 길은 다른 쪽이다. 여가를 남은 시간으로 받아들이되, 레크리에이션은 그 남은 시간에 설계된 시간으로 다룬다. 남은 시간이라는 사실은 바뀌지 않지만, 그 시간을 설계하는 일은 잔여적이지 않다. 5부에서 프로그래밍을 요구 분석부터 평가까지의 절차로 서술하는 것도 이 때문이다. 설계된 것만이 평가될 수 있고, 평가될 수 있는 것만이 직업의 근거를 갖는다.</w:t>
      </w:r>
    </w:p>
    <w:p>
      <w:pPr>
        <w:spacing w:after="160" w:line="340"/>
        <w:ind w:firstLine="187"/>
        <w:jc w:val="both"/>
      </w:pPr>
      <w:r>
        <w:rPr>
          <w:rFonts w:ascii="Batang" w:cs="Batang" w:eastAsia="Batang" w:hAnsi="Batang"/>
          <w:sz w:val="21"/>
          <w:szCs w:val="21"/>
        </w:rPr>
        <w:t xml:space="preserve">어원에서 출발한 이 장이 실무로 건너가는 다리가 여기에 놓인다. 스콜레는 우리에게 목적을, 오티움은 자리를, 리케레는 조건을, 리크리에이션은 방향을 준다. 그리고 한국어 여가는 우리가 매일 부딪히는 현실을 알려 준다. 넷을 함께 쥐고 있을 때 지도자는 자기 일을 설명할 언어를 갖게 된다.</w:t>
      </w:r>
    </w:p>
    <w:p>
      <w:pPr>
        <w:pStyle w:val="Heading2"/>
        <w:spacing w:after="160" w:before="400"/>
      </w:pPr>
      <w:r>
        <w:rPr>
          <w:rFonts w:ascii="Malgun Gothic" w:cs="Malgun Gothic" w:eastAsia="Malgun Gothic" w:hAnsi="Malgun Gothic"/>
          <w:b/>
          <w:bCs/>
          <w:color w:val="2F5496"/>
          <w:sz w:val="24"/>
          <w:szCs w:val="24"/>
        </w:rPr>
        <w:t xml:space="preserve">정리</w:t>
      </w:r>
    </w:p>
    <w:p>
      <w:pPr>
        <w:spacing w:after="160" w:line="340"/>
        <w:ind w:firstLine="187"/>
        <w:jc w:val="both"/>
      </w:pPr>
      <w:r>
        <w:rPr>
          <w:rFonts w:ascii="Batang" w:cs="Batang" w:eastAsia="Batang" w:hAnsi="Batang"/>
          <w:sz w:val="21"/>
          <w:szCs w:val="21"/>
        </w:rPr>
        <w:t xml:space="preserve">여가를 가리키는 낱말들은 저마다 다른 사정에서 태어났다. 그리스어 스콜레는 여가를 삶의 목적으로 놓았고 일을 여가의 결여로 불렀으며, 여기서 학교라는 말이 나왔다. 라틴어 오티움은 여가를 공적 업무 바깥의 사적 영역으로 규정했고, 그 부정형인 네고티움이 일이 되었다. 영어 leisure의 뿌리인 리케레는 허락됨을 뜻하며, 근대의 여가가 제도가 허락한 시간임을 알려 준다. recreation은 회복과 재창조라는 두 해석을 품고 있고, 어느 쪽을 택하느냐가 프로그램의 마무리를 가른다. 한국어 여가는 이 가운데 어디에도 속하지 않는 잔여 개념이며, 이 구조가 현장에서 겪는 여러 곤란의 뿌리에 있다. 어원은 답을 주지 않지만, 우리가 무엇을 두고 다투고 있는지는 정확히 알려 준다.</w:t>
      </w:r>
    </w:p>
    <w:p>
      <w:pPr>
        <w:pStyle w:val="Heading2"/>
        <w:spacing w:after="160" w:before="400"/>
      </w:pPr>
      <w:r>
        <w:rPr>
          <w:rFonts w:ascii="Malgun Gothic" w:cs="Malgun Gothic" w:eastAsia="Malgun Gothic" w:hAnsi="Malgun Gothic"/>
          <w:b/>
          <w:bCs/>
          <w:color w:val="2F5496"/>
          <w:sz w:val="24"/>
          <w:szCs w:val="24"/>
        </w:rPr>
        <w:t xml:space="preserve">생각해 볼 문제</w:t>
      </w:r>
    </w:p>
    <w:p>
      <w:pPr>
        <w:spacing w:after="90" w:line="320"/>
        <w:ind w:left="489" w:hanging="316"/>
      </w:pPr>
      <w:r>
        <w:rPr>
          <w:rFonts w:ascii="Batang" w:cs="Batang" w:eastAsia="Batang" w:hAnsi="Batang"/>
          <w:sz w:val="20"/>
          <w:szCs w:val="20"/>
        </w:rPr>
        <w:t xml:space="preserve">1. 그리스어에서 일을 뜻하는 아스콜리아는 스콜레의 부정형이다. 만약 한국어에서도 일을 여가 없음으로 불렀다면, 우리의 노동관은 어떻게 달라졌겠는가.</w:t>
      </w:r>
    </w:p>
    <w:p>
      <w:pPr>
        <w:spacing w:after="90" w:line="320"/>
        <w:ind w:left="489" w:hanging="316"/>
      </w:pPr>
      <w:r>
        <w:rPr>
          <w:rFonts w:ascii="Batang" w:cs="Batang" w:eastAsia="Batang" w:hAnsi="Batang"/>
          <w:sz w:val="20"/>
          <w:szCs w:val="20"/>
        </w:rPr>
        <w:t xml:space="preserve">2. 자신이 최근 진행하거나 참여한 프로그램을 하나 떠올려, 그것이 시간·활동·생활 영역·심리 상태 가운데 어느 규정 위에서 설계되었는지 판별해 보라.</w:t>
      </w:r>
    </w:p>
    <w:p>
      <w:pPr>
        <w:spacing w:after="90" w:line="320"/>
        <w:ind w:left="489" w:hanging="316"/>
      </w:pPr>
      <w:r>
        <w:rPr>
          <w:rFonts w:ascii="Batang" w:cs="Batang" w:eastAsia="Batang" w:hAnsi="Batang"/>
          <w:sz w:val="20"/>
          <w:szCs w:val="20"/>
        </w:rPr>
        <w:t xml:space="preserve">3. 참가자가 허락받고 온 사람이라는 관점에서, 참여도가 낮았던 집단의 사례를 다시 분석해 보라. 허락의 조건은 무엇이었는가.</w:t>
      </w:r>
    </w:p>
    <w:p>
      <w:pPr>
        <w:spacing w:after="90" w:line="320"/>
        <w:ind w:left="489" w:hanging="316"/>
      </w:pPr>
      <w:r>
        <w:rPr>
          <w:rFonts w:ascii="Batang" w:cs="Batang" w:eastAsia="Batang" w:hAnsi="Batang"/>
          <w:sz w:val="20"/>
          <w:szCs w:val="20"/>
        </w:rPr>
        <w:t xml:space="preserve">4. recreation을 회복으로 볼 때와 재창조로 볼 때, 같은 프로그램의 마무리 단계는 어떻게 달라지는가. 구체적인 진행안으로 작성해 보라.</w:t>
      </w:r>
    </w:p>
    <w:p>
      <w:pPr>
        <w:spacing w:after="90" w:line="320"/>
        <w:ind w:left="489" w:hanging="316"/>
      </w:pPr>
      <w:r>
        <w:rPr>
          <w:rFonts w:ascii="Batang" w:cs="Batang" w:eastAsia="Batang" w:hAnsi="Batang"/>
          <w:sz w:val="20"/>
          <w:szCs w:val="20"/>
        </w:rPr>
        <w:t xml:space="preserve">5. 여가는 남은 시간이라는 정의를 받아들이면서도 레크리에이션 지도의 전문성을 주장하려면, 어떤 논거가 필요한가.</w:t>
      </w:r>
    </w:p>
    <w:p>
      <w:pPr>
        <w:pStyle w:val="Heading2"/>
        <w:spacing w:after="160" w:before="400"/>
      </w:pPr>
      <w:r>
        <w:rPr>
          <w:rFonts w:ascii="Malgun Gothic" w:cs="Malgun Gothic" w:eastAsia="Malgun Gothic" w:hAnsi="Malgun Gothic"/>
          <w:b/>
          <w:bCs/>
          <w:color w:val="2F5496"/>
          <w:sz w:val="24"/>
          <w:szCs w:val="24"/>
        </w:rPr>
        <w:t xml:space="preserve">주</w:t>
      </w:r>
    </w:p>
    <w:p>
      <w:pPr>
        <w:spacing w:after="100" w:line="300"/>
        <w:ind w:left="576" w:hanging="576"/>
      </w:pPr>
      <w:r>
        <w:rPr>
          <w:rFonts w:ascii="Batang" w:cs="Batang" w:eastAsia="Batang" w:hAnsi="Batang"/>
          <w:sz w:val="18"/>
          <w:szCs w:val="18"/>
        </w:rPr>
        <w:t xml:space="preserve">[1] Bucher, C. A.(1975)의 논의로 저자의 강의안에 인용되어 있다. 원전의 서지사항과 해당 쪽수는 집필 단계에서 확인이 필요하다.</w:t>
      </w:r>
    </w:p>
    <w:p>
      <w:pPr>
        <w:spacing w:after="100" w:line="300"/>
        <w:ind w:left="576" w:hanging="576"/>
      </w:pPr>
      <w:r>
        <w:rPr>
          <w:rFonts w:ascii="Batang" w:cs="Batang" w:eastAsia="Batang" w:hAnsi="Batang"/>
          <w:sz w:val="18"/>
          <w:szCs w:val="18"/>
        </w:rPr>
        <w:t xml:space="preserve">[2] 아리스토텔레스, 『정치학』 7권 14~15장 및 8권, 『니코마코스 윤리학』 10권 7~8장. 국역본에 따라 스콜레의 번역어가 여가, 한가, 여유로 갈리므로 인용 시 판본을 밝힌다.</w:t>
      </w:r>
    </w:p>
    <w:p>
      <w:pPr>
        <w:spacing w:after="100" w:line="300"/>
        <w:ind w:left="576" w:hanging="576"/>
      </w:pPr>
      <w:r>
        <w:rPr>
          <w:rFonts w:ascii="Batang" w:cs="Batang" w:eastAsia="Batang" w:hAnsi="Batang"/>
          <w:sz w:val="18"/>
          <w:szCs w:val="18"/>
        </w:rPr>
        <w:t xml:space="preserve">[3] 여러 여가 교재에 널리 실려 있으나 원문 대응 구절이 확정되지 않은 인용문이다. 취지는 『정치학』의 논의와 일치한다. 본문에 싣는다면 취지 인용임을 명시하는 편이 좋겠다.</w:t>
      </w:r>
    </w:p>
    <w:p>
      <w:pPr>
        <w:spacing w:after="100" w:line="300"/>
        <w:ind w:left="576" w:hanging="576"/>
      </w:pPr>
      <w:r>
        <w:rPr>
          <w:rFonts w:ascii="Batang" w:cs="Batang" w:eastAsia="Batang" w:hAnsi="Batang"/>
          <w:sz w:val="18"/>
          <w:szCs w:val="18"/>
        </w:rPr>
        <w:t xml:space="preserve">[4] 오티움의 군사적 배경에 관한 서술은 저자의 강의안을 따랐다.</w:t>
      </w:r>
    </w:p>
    <w:p>
      <w:pPr>
        <w:spacing w:after="100" w:line="300"/>
        <w:ind w:left="576" w:hanging="576"/>
      </w:pPr>
      <w:r>
        <w:rPr>
          <w:rFonts w:ascii="Batang" w:cs="Batang" w:eastAsia="Batang" w:hAnsi="Batang"/>
          <w:sz w:val="18"/>
          <w:szCs w:val="18"/>
        </w:rPr>
        <w:t xml:space="preserve">[5] 자유 시간 발생의 다섯 가지 조건은 저자의 강의안 정리를 그대로 가져왔다.</w:t>
      </w:r>
    </w:p>
    <w:p>
      <w:pPr>
        <w:spacing w:after="100" w:line="300"/>
        <w:ind w:left="576" w:hanging="576"/>
      </w:pPr>
      <w:r>
        <w:rPr>
          <w:rFonts w:ascii="Batang" w:cs="Batang" w:eastAsia="Batang" w:hAnsi="Batang"/>
          <w:sz w:val="18"/>
          <w:szCs w:val="18"/>
        </w:rPr>
        <w:t xml:space="preserve">[6] Dumazedier, J.(1967). Toward a Society of Leisure. New York: Free Press. 원저는 Vers une civilisation du loisir?(1962). 인용문은 저자의 강의안에 실린 번역을 따랐다.</w:t>
      </w:r>
    </w:p>
    <w:p>
      <w:pPr>
        <w:spacing w:after="100" w:line="300"/>
        <w:ind w:left="576" w:hanging="576"/>
      </w:pPr>
      <w:r>
        <w:rPr>
          <w:rFonts w:ascii="Batang" w:cs="Batang" w:eastAsia="Batang" w:hAnsi="Batang"/>
          <w:sz w:val="18"/>
          <w:szCs w:val="18"/>
        </w:rPr>
        <w:t xml:space="preserve">[7] 최진이(2012). 저자의 강의안에 인용된 자신의 정의다. 출처 문헌은 집필 단계에서 확인이 필요하다.</w:t>
      </w:r>
    </w:p>
    <w:p>
      <w:pPr>
        <w:pStyle w:val="Heading2"/>
        <w:spacing w:after="160" w:before="400"/>
      </w:pPr>
      <w:r>
        <w:rPr>
          <w:rFonts w:ascii="Malgun Gothic" w:cs="Malgun Gothic" w:eastAsia="Malgun Gothic" w:hAnsi="Malgun Gothic"/>
          <w:b/>
          <w:bCs/>
          <w:color w:val="2F5496"/>
          <w:sz w:val="24"/>
          <w:szCs w:val="24"/>
        </w:rPr>
        <w:t xml:space="preserve">이 장을 쓰며 참고한 자료</w:t>
      </w:r>
    </w:p>
    <w:p>
      <w:pPr>
        <w:pStyle w:val="ListParagraph"/>
        <w:numPr>
          <w:ilvl w:val="0"/>
          <w:numId w:val="2"/>
        </w:numPr>
        <w:spacing w:after="90" w:line="300"/>
      </w:pPr>
      <w:r>
        <w:rPr>
          <w:rFonts w:ascii="Batang" w:cs="Batang" w:eastAsia="Batang" w:hAnsi="Batang"/>
          <w:sz w:val="19"/>
          <w:szCs w:val="19"/>
        </w:rPr>
        <w:t xml:space="preserve">2024 레크리에이션지도 1번째 강의안 — 어원·학문적 접근 (여가의 어원, 여가 규정의 4분법, 자유 시간 발생 조건, 뒤마제디에 정의)</w:t>
      </w:r>
    </w:p>
    <w:p>
      <w:pPr>
        <w:pStyle w:val="ListParagraph"/>
        <w:numPr>
          <w:ilvl w:val="0"/>
          <w:numId w:val="2"/>
        </w:numPr>
        <w:spacing w:after="90" w:line="300"/>
      </w:pPr>
      <w:r>
        <w:rPr>
          <w:rFonts w:ascii="Batang" w:cs="Batang" w:eastAsia="Batang" w:hAnsi="Batang"/>
          <w:sz w:val="19"/>
          <w:szCs w:val="19"/>
        </w:rPr>
        <w:t xml:space="preserve">2023 레크리에이션지도 2번째 강의안 — 학문적·역사적 접근</w:t>
      </w:r>
    </w:p>
    <w:p>
      <w:pPr>
        <w:pStyle w:val="ListParagraph"/>
        <w:numPr>
          <w:ilvl w:val="0"/>
          <w:numId w:val="2"/>
        </w:numPr>
        <w:spacing w:after="90" w:line="300"/>
      </w:pPr>
      <w:r>
        <w:rPr>
          <w:rFonts w:ascii="Batang" w:cs="Batang" w:eastAsia="Batang" w:hAnsi="Batang"/>
          <w:sz w:val="19"/>
          <w:szCs w:val="19"/>
        </w:rPr>
        <w:t xml:space="preserve">2025 서울한영대 레크리에이션지도 기말고사 (스콜레, 오티움, 루이지에르, 허락된 자유 문항)</w:t>
      </w:r>
    </w:p>
    <w:p>
      <w:pPr>
        <w:pStyle w:val="ListParagraph"/>
        <w:numPr>
          <w:ilvl w:val="0"/>
          <w:numId w:val="2"/>
        </w:numPr>
        <w:spacing w:after="90" w:line="300"/>
      </w:pPr>
      <w:r>
        <w:rPr>
          <w:rFonts w:ascii="Batang" w:cs="Batang" w:eastAsia="Batang" w:hAnsi="Batang"/>
          <w:sz w:val="19"/>
          <w:szCs w:val="19"/>
        </w:rPr>
        <w:t xml:space="preserve">정용각(2000). 『여가행동 및 레크리에이션』. PUFS.</w:t>
      </w:r>
    </w:p>
    <w:p>
      <w:pPr>
        <w:pStyle w:val="ListParagraph"/>
        <w:numPr>
          <w:ilvl w:val="0"/>
          <w:numId w:val="2"/>
        </w:numPr>
        <w:spacing w:after="90" w:line="300"/>
      </w:pPr>
      <w:r>
        <w:rPr>
          <w:rFonts w:ascii="Batang" w:cs="Batang" w:eastAsia="Batang" w:hAnsi="Batang"/>
          <w:sz w:val="19"/>
          <w:szCs w:val="19"/>
        </w:rPr>
        <w:t xml:space="preserve">박세혁(2010). 『디지털시대의 여가 및 레크리에이션』. 가림출판사.</w:t>
      </w:r>
    </w:p>
    <w:p>
      <w:pPr>
        <w:spacing w:after="160" w:line="340"/>
        <w:ind w:firstLine="187"/>
        <w:jc w:val="both"/>
      </w:pPr>
      <w:r>
        <w:rPr>
          <w:rFonts w:ascii="Batang" w:cs="Batang" w:eastAsia="Batang" w:hAnsi="Batang"/>
          <w:sz w:val="21"/>
          <w:szCs w:val="21"/>
        </w:rPr>
        <w:t xml:space="preserve">집필 단계에서 추가로 확인할 만한 문헌으로는 요제프 피퍼의 『여가: 문화의 기초』(원저 Muße und Kult, 1948)와 세바스찬 드 그라치아의 Of Time, Work, and Leisure(1962)가 있다. 전자는 스콜레 전통을, 후자는 시간 규정과 심리 규정의 긴장을 다룬다.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2026-09-02T00:48:26.392Z</dcterms:created>
  <dcterms:modified xsi:type="dcterms:W3CDTF">2026-09-02T00:48:26.392Z</dcterms:modified>
</cp:coreProperties>
</file>

<file path=docProps/custom.xml><?xml version="1.0" encoding="utf-8"?>
<Properties xmlns="http://schemas.openxmlformats.org/officeDocument/2006/custom-properties" xmlns:vt="http://schemas.openxmlformats.org/officeDocument/2006/docPropsVTypes"/>
</file>