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80"/>
        <w:jc w:val="center"/>
      </w:pPr>
      <w:r>
        <w:rPr>
          <w:sz w:val="20"/>
          <w:szCs w:val="20"/>
        </w:rPr>
        <w:t xml:space="preserve">&lt;표 1&gt; 도구의 판정 기준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판정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조건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위험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초과 비율 &gt; 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경계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초과 0건, 그러나 최악 여유 &lt; 1.25배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초과 0건, 최악 여유 ≥ 1.25배 (참 초과 비율의 95% 상한을 함께 표시)</w:t>
            </w:r>
          </w:p>
        </w:tc>
      </w:tr>
    </w:tbl>
    <w:p>
      <w:pPr>
        <w:spacing w:before="360" w:after="80"/>
        <w:jc w:val="center"/>
      </w:pPr>
      <w:r>
        <w:rPr>
          <w:sz w:val="20"/>
          <w:szCs w:val="20"/>
        </w:rPr>
        <w:t xml:space="preserve">&lt;표 2&gt; 다섯 학생 변형의 손실·가중치·교사 입력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손실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λ_align · λ_atc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교사 입력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L_task + L_align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 · 1.0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2프레임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L_task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 · 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1프레임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L_task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 · 1.0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2프레임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L_task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교사 없음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L_task + L_kd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1프레임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(출력 증류의 λ_kd = 1.0, T = 1.5)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3&gt; 측정 형식에 따른 여유와 판정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측정 형식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유한 표본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활성 중앙값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판정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bf16 (참값)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799/799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74,752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위험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32/799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64,000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1.02배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「안전」(틀림)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(기준 모델, 원본 해상도, 마지막 블록, 799장. fp16 활성 중앙값은 유한한 32장의 중앙값으로, 가운데 두 값의 평균이다)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4&gt; 변형별·질문 유형별 NuScenes-QA 검증 정확도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전체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비교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개수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존재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대상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상태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51.69% (5,846)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64.72%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7.46%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80.17%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43.87%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51.03%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51.40% (5,813)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63.09%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10.58%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81.38%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37.86%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52.79%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51.34% (5,806)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64.44%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7.73%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81.17%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39.89%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52.24%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50.30% (5,688)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64.49%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7.96%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80.26%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36.67%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51.15%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46.74% (5,286)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63.88%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10.40%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67.68%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35.48%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51.09%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(NuScenes-QA 검증 11,309문항, 평가 해상도, bf16. 괄호는 정답 수)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5&gt; 비전 인코더 블록별 최대 활성 크기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blk16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blk23 (정렬)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blk28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blk31 (마지막)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Pre-trained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840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8,256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8,256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33,792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876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8,096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8,096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50,176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604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7,712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7,712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30,336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932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7,872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7,872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34,304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106.5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18,432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111.5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17,920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교사 7B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458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9,024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9,024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27,904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평가 해상도, bf16, 이미지별 최대의 중앙값). blk23은 정렬 손실을 거는 블록이다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6&gt; 입력 해상도별 fp16 상실률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입력 픽셀 상한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패치 수(병합 전)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Pre-trained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Full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1,440,000 (원본)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7,296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96.0%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26.8%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38.9%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70.7%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802,816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3,864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31.7%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401,408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1,920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15.1%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200,704 (평가)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924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100,352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480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(fp16 상실률, 799장, 이미지 단위로 출력이 NaN이면 상실)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7&gt; 여유·상실률과 표준 압축 지표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상실률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max/rms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INT8 SNR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Pre-trained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0.95배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70.7%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173.5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31.52 dB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96.0%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143.9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32.28 dB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1.07배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26.8%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204.4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30.42 dB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38.9%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204.5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30.60 dB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2.89배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172.0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25.75 dB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2.94배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236.2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22.78 dB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(원본 해상도, 마지막 블록, 799장, SNR·max/rms는 이미지별 값의 중앙값·텐서 단위, 여유는 p50·bf16 측정)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8&gt; 실행 조건에 따른 INT4 정확도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INT4 교란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INT4 통제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양자화 전 bf16(Ⅴ장 1절)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통제−양자화 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1.39%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48.30%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50.30%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−2.00%p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51.60%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51.86%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51.69%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+0.17%p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50.82%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50.64%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51.40%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−0.76%p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30.49%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50.31%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51.34%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−1.03%p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32.99%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47.96%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46.74%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+1.22%p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(NuScenes-QA 검증 11,309문항. 교란 = fp16 로드·원본 해상도, 통제 = bf16 로드·평가 해상도, 양자화 전 = 평가 해상도 bf16)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9&gt; 초과 비율과 실제 상실률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초과 비율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실제 상실률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오차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Pre-trained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73.0%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70.7%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+2.3%p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96.5%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96.0%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+0.5%p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27.7%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26.8%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+0.9%p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41.7%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38.9%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+2.8%p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0.0%p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0.0%p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(원본 해상도, 마지막 블록, 799장, 초과 비율은 bf16, 상실률은 PyTorch fp16, 오차 = 초과 비율 − 실제 상실률)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10&gt; λ 스윕 체크포인트의 여유와 실제 상실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λ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 p50(배)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최악(배)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초과 비율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실제 상실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0.82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14.5%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12.9%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1.91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1.19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2.39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1.41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4.00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2.56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(원본 해상도, 799장, 크기는 bf16·상실은 fp16. λ = 0.5는 초과 0건이나 최악 여유가 1.25배 아래라 도구 판정이 「경계」다)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11&gt; 마지막 블록 최댓값의 성분 분해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잔차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attn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mlp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합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−90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−50,176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−50,176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out.KD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−102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−10.7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−30,336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−30,464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L_atc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−99.5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−9.3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−34,048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−34,048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+ L_align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−146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−17.4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−18,304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−18,432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−134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−25.1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−17,920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−18,048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평가 해상도, bf16. 각 열은 성분별 중앙값이라 합 열과 일치하지 않는다. 합 열은 &lt;표 5&gt;의 마지막 블록 값과 bf16 최소 간격(1 ulp) 이내에서 다르다)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12&gt; 사후 개입 위치에 따른 활성과 상실률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개입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곱 act(gate)⊙up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down_proj 출력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상실률 (원본 해상도)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4,612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63,520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95.9%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출력 측 축소: MLP </w:t>
            </w:r>
            <w:r>
              <w:rPr>
                <w:b/>
                <w:sz w:val="18"/>
                <w:szCs w:val="18"/>
              </w:rPr>
              <w:t xml:space="preserve">출력</w:t>
            </w:r>
            <w:r>
              <w:rPr>
                <w:sz w:val="18"/>
                <w:szCs w:val="18"/>
              </w:rPr>
              <w:t xml:space="preserve">을 1/3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4,608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63,776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96.4%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곱셈 이전 교정: </w:t>
            </w:r>
            <w:r>
              <w:rPr>
                <w:b/>
                <w:sz w:val="18"/>
                <w:szCs w:val="18"/>
              </w:rPr>
              <w:t xml:space="preserve">gate·up을 각각 1/√3</w:t>
            </w:r>
            <w:r>
              <w:rPr>
                <w:sz w:val="18"/>
                <w:szCs w:val="18"/>
              </w:rPr>
              <w:t xml:space="preserve"> (곱이 약 1/3)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1,535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24,928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fp16. 세 행은 같은 실행이다. 곱과 출력 크기는 그 단계까지 유한하였던 이미지의 중앙값이다. 없음 행은 상한을 넘은 이미지가 빠진 값이라 참값보다 작다. 참값은 bf16 p50 74,752다. 상실률은 이 실행에서 측정하였고, 측정 구현에 따른 차이는 Ⅳ장 2절과 같다)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13&gt; 모델 계열별 도구 적용 결과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계열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블록 구조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마지막 블록 여유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판정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 학생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Qwen2.5-VL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blocks, gate·up→down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위험 → 교정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Qwen2-VL-2B-Instruct-AWQ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Qwen2-VL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blocks, fc1→fc2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3.91배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Qwen2-VL-7B-Instruct-AWQ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Qwen2-VL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blocks, fc1→fc2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4.51배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SmolVLM-Instruct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Idefics3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encoder.layers, fc1→fc2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50.86배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Qwen 계열은 원본 해상도, SmolVLM은 기본 처리기, 여유는 p50)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14&gt; 배포 조건 정확도의 종단 검증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해상도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형식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교정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정확도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상실형 출력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1.34%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10,993 / 11,309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도구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48.76%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bf16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48.47%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48.02%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533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bf16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50.30%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51.86%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bf16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52.00%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51.74%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bf16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51.69%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(NuScenes-QA 검증 11,309문항, PyTorch. 원본 = max_pixels 1,440,000, 평가 = 200,704. 상실형 출력은 문항 수)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15&gt; fp16과 bf16의 짝 정확도 비교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해상도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fp16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bf16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불일치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fp16 상실형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1.31배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48.02%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50.30%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128 대 385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533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 (상실 문항 제외, 10,776문항)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50.40%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50.30%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평가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3.66배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51.74%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51.69%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76 대 71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2.94배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51.86%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52.00%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78 대 94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(NuScenes-QA 검증 11,309문항, PyTorch. 불일치는 fp16만 정답 대 bf16만 정답인 문항 수. 상실 문항 제외 행의 bf16 열은 같은 10,776문항에서 다시 계산한 값이며(정답 5,420개), 50.30%는 전체 문항의 값과 일치한다)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16&gt; 네 가지 배포 선택지의 비교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선택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상실률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지연 p50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가중치 메모리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정확도 (원본 해상도, 11,309문항)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fp32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445.9 ms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2,760 MiB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fp16 무교정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95.1%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147.9 ms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1,385 MiB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1.34% (PyTorch)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fp16 + 도구 교정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149.3 ms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1,385 MiB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48.76%</w:t>
            </w:r>
            <w:r>
              <w:rPr>
                <w:sz w:val="18"/>
                <w:szCs w:val="18"/>
              </w:rPr>
              <w:t xml:space="preserve"> (PyTorch)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bf16 무교정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188.4 ms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1,385 MiB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48.47% (PyTorch)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(상실률·지연·메모리는 TensorRT 10.13·799장. 가중치 메모리는 블록 밖 병합 층과 상수를 포함한 값이다. 지연은 실행마다 따로 측정한 값이다(fp32와 fp16 무교정은 같은 실행, 교정 fp16은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17&gt; 실행 경로별 상실률과 초과 비율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해상도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초과 비율 (bf16)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PyTorch fp16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TensorRT 강타입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TensorRT 관행 (fp32 그래프)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TensorRT 관행 (fp16 그래프)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1,440,000 (원본)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96.5%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96.0%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94.9%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95.1%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94.1%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802,816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34.0%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31.7%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30.2%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7.1%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401,408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16.6%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15.1%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14.8%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16.4%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15.5%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(기준 모델, 799장, TensorRT 10.13, A100. Full과 교정본은 모든 칸에서 0%. 관행 열이 두 개인 것은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18&gt; Orin Nano 실측 결과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해상도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모델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Orin Nano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A100 강타입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지연 p50 (Orin)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802,816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30.7%</w:t>
            </w:r>
            <w:r>
              <w:rPr>
                <w:sz w:val="18"/>
                <w:szCs w:val="18"/>
              </w:rPr>
              <w:t xml:space="preserve"> (245/799)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30.2% (241/799)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1,081 ms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802,816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1,074 ms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802,816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 교정본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1,074 ms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401,408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Task only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14.5%</w:t>
            </w:r>
            <w:r>
              <w:rPr>
                <w:sz w:val="18"/>
                <w:szCs w:val="18"/>
              </w:rPr>
              <w:t xml:space="preserve"> (116/799)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14.8% (118/799)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509 ms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401,408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Full · Task only 교정본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0.0% · 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0.0% · 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510 · 512 ms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1,440,000 (원본)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세 모델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빌드 불가</w:t>
            </w:r>
            <w:r>
              <w:rPr>
                <w:sz w:val="18"/>
                <w:szCs w:val="18"/>
              </w:rPr>
              <w:t xml:space="preserve">(메모리 한도)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94.9% · 0.0% · 0.0%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같은 순서, 15W 모드, TensorRT 10.3, 강타입. 지연은 두 분할 엔진의 합)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19&gt; 정렬 손실 가중치 λ_align에 따른 활성과 여유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λ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blk23 (정렬)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blk31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λ = 0 대비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여유(fp16 상한 기준)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8,512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36,608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1.79배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5,856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26,112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−28.7%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2.51배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19,072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−47.9%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3.43배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14,208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−61.2%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4.61배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평가 해상도, bf16, p50)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20&gt; 정렬 대상에 따른 마지막 블록 활성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변형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정렬 대상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blk31 p50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λ = 0 대비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λ = 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36,608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자기 정렬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3B 사전학습 모델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27,904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−23.8%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교사 정렬 λ = 0.5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7B 교사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26,112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−28.7%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교사 정렬 λ = 1.0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7B 교사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19,072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−47.9%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교사 정렬 λ = 2.0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7B 교사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14,208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−61.2%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 짝, 평가 해상도, bf16. 교사 정렬 행은 &lt;표 19&gt;의 값과 같다)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&lt;표 21&gt; 공개 양자화 저장소의 설정 패턴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패턴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비율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torch_dtype == float16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55/197(28%)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비전 인코더를 양자화에서 제외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67/197(34%)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둘 다(비전 인코더가 fp16으로 실행되도록 적혀 있음)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27/197(13.7%)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처리기 max_pixels &gt; 4M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56/197(28%)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(공개 양자화 VLM 저장소 197개, config 기준)</w:t>
      </w:r>
    </w:p>
    <w:p>
      <w:pPr>
        <w:spacing w:before="360" w:after="80"/>
        <w:jc w:val="center"/>
      </w:pPr>
      <w:r>
        <w:rPr>
          <w:sz w:val="20"/>
          <w:szCs w:val="20"/>
        </w:rPr>
        <w:t xml:space="preserve">&lt;부록 표 1&gt; 측정 환경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용도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환경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학습·PyTorch 측정 (주 환경)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Python 3.10, PyTorch 2.3.0, transformers 4.49.0, peft 0.14.0, NVIDIA A100 80GB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TensorRT 측정 (A100)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TensorRT 10.13, 형식 비용은 10.16에서도 측정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Gemma 4·Qwen3-VL·GLM-4.1V 측정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PyTorch 2.11.0+cu128, transformers 5.20.2 (Gemma 4는 transformers 5.5 이상, Qwen3-VL은 4.49.0보다 새 판이 필요하다)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엣지 보드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Jetson Orin Nano 8GB (Ampere GPU 1,024코어, DLA 없음), L4T R36.4.7, TensorRT 10.3.0, 15W 모드</w:t>
            </w:r>
          </w:p>
        </w:tc>
      </w:tr>
    </w:tbl>
    <w:p>
      <w:pPr>
        <w:spacing w:before="360" w:after="80"/>
        <w:jc w:val="center"/>
      </w:pPr>
      <w:r>
        <w:rPr>
          <w:sz w:val="20"/>
          <w:szCs w:val="20"/>
        </w:rPr>
        <w:t xml:space="preserve">&lt;부록 표 2&gt; 위험 구성 공개 저장소의 실측 여유</w:t>
      </w: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rPr>
          <w:tblHeader/>
        </w:trPr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저장소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여유 p50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최악</w:t>
            </w:r>
          </w:p>
        </w:tc>
        <w:tc>
          <w:tcPr>
            <w:vAlign w:val="center"/>
            <w:shd w:val="clear" w:color="auto" w:fill="E6E6E6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판정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AngelSlim/Qwen2.5-VL-3B-Instruct-INT4-AWQ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0.95배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0.74배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위험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AngelSlim/Qwen2.5-VL-72B-Instruct-AWQ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1.13배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0.88배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  <w:szCs w:val="18"/>
              </w:rPr>
              <w:t xml:space="preserve">위험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AngelSlim/Qwen2.5-VL-7B-Instruct-AWQ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1.73배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1.27배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AngelSlim/Qwen2.5-VL-32B-Instruct-AWQ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1.97배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1.38배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Qwen/Qwen2-VL-2B-Instruct-AWQ (공식)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3.91배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3.55배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Qwen/Qwen2-VL-7B-Instruct-AWQ (공식)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4.51배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QuantTrio/Qwen3-VL-235B-A22B-Thinking-AWQ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4.97배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4.55배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QuantTrio/Qwen3-VL-235B-A22B-Instruct-AWQ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4.99배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4.69배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QuantTrio/Qwen3-VL-32B-Instruct-AWQ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6.09배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5.30배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QuantTrio/Qwen3-VL-32B-Thinking-AWQ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7.42배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6.24배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Qwen/Qwen2-VL-72B-Instruct-AWQ (공식)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10.23배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8.39배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QuantTrio/Qwen3-VL-30B-A3B-Thinking-AWQ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40.33배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32.75배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QuantTrio/Qwen3-VL-30B-A3B-Instruct-AWQ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41.99배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33.42배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RichardErkhov/muhtasham_-_Phi-3.5-vision-instruct_*-awq (3개)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240.82 · 250.02 · 308.98배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216.90 · 227.44 · 257.89배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 (고정 해상도)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Isotr0py/Phi-3.5-vision-instruct-AWQ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282.34배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244.42배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 (고정 해상도)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lurker18/Phi_3_Vision_128k_Instruct_AWQ_4bit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293.74배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255.88배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 (고정 해상도)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ybelkada/llava-1.5-7b-hf-awq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319.53배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291.13배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 (고정 해상도)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ELVISIO/SenseNova-SI-InternVL3-8B-AWQ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419.90배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385.32배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안전 (고정 해상도)</w:t>
            </w:r>
          </w:p>
        </w:tc>
      </w:tr>
    </w:tbl>
    <w:p>
      <w:pPr>
        <w:spacing w:before="60" w:after="0"/>
        <w:jc w:val="center"/>
      </w:pPr>
      <w:r>
        <w:rPr>
          <w:sz w:val="17"/>
          <w:szCs w:val="17"/>
        </w:rPr>
        <w:t xml:space="preserve">(799장, 원본 해상도, 마지막 블록, bf16, 여유는 p50·최악. 판정은 Ⅲ장 4절의 도구 기준이다. 초과 비율이 0보다 크면 위험, 초과가 0건이고 최악 여유가 1.25배 미만이면 경계, 그 밖은</w:t>
      </w:r>
    </w:p>
    <w:sectPr>
      <w:pgSz w:w="11906" w:h="16838"/>
      <w:pgMar w:top="1418" w:right="1134" w:bottom="1418" w:left="1134"/>
    </w:sectPr>
  </w:body>
</w:document>
</file>