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MARKET BRIEFING  ·  2026. 8. 21</w:t>
      </w:r>
    </w:p>
    <w:p>
      <w:pPr>
        <w:spacing w:after="40" w:before="0" w:line="283" w:lineRule="auto"/>
        <w:jc w:val="center"/>
      </w:pPr>
      <w:r>
        <w:rPr>
          <w:rFonts w:ascii="맑은 고딕" w:hAnsi="맑은 고딕" w:eastAsia="맑은 고딕"/>
          <w:b/>
          <w:i w:val="0"/>
          <w:color w:val="B8943A"/>
          <w:sz w:val="26"/>
        </w:rPr>
        <w:t>시장 종합 레포트</w:t>
      </w:r>
    </w:p>
    <w:p>
      <w:pPr>
        <w:spacing w:after="40" w:before="0" w:line="283" w:lineRule="auto"/>
        <w:jc w:val="center"/>
      </w:pPr>
      <w:r>
        <w:rPr>
          <w:rFonts w:ascii="맑은 고딕" w:hAnsi="맑은 고딕" w:eastAsia="맑은 고딕"/>
          <w:b/>
          <w:i w:val="0"/>
          <w:color w:val="0F2043"/>
          <w:sz w:val="44"/>
        </w:rPr>
        <w:t>수요 초과와 버블 논쟁 사이</w:t>
      </w:r>
    </w:p>
    <w:p>
      <w:pPr>
        <w:spacing w:after="160" w:before="0" w:line="283" w:lineRule="auto"/>
        <w:jc w:val="center"/>
      </w:pPr>
      <w:r>
        <w:rPr>
          <w:rFonts w:ascii="맑은 고딕" w:hAnsi="맑은 고딕" w:eastAsia="맑은 고딕"/>
          <w:b/>
          <w:i w:val="0"/>
          <w:color w:val="1E407C"/>
          <w:sz w:val="26"/>
        </w:rPr>
        <w:t>마이크론 150% · 공동설계 · Dudley 반론 · 장기금리 · AI 금융화</w:t>
      </w:r>
    </w:p>
    <w:p>
      <w:pPr>
        <w:spacing w:after="200" w:before="0" w:line="283" w:lineRule="auto"/>
        <w:jc w:val="center"/>
      </w:pPr>
      <w:r>
        <w:rPr>
          <w:rFonts w:ascii="맑은 고딕" w:hAnsi="맑은 고딕" w:eastAsia="맑은 고딕"/>
          <w:b w:val="0"/>
          <w:i w:val="0"/>
          <w:color w:val="4B5563"/>
          <w:sz w:val="21"/>
        </w:rPr>
        <w:t>작성일 2026. 8. 22  ·  대상 기간 2026. 8. 20~21  ·  공개 코멘트 기준</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93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문서 성격</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당일 퀵코멘트(06:48~18:34)와 워드 17건을 재구성한 시장 분석 레포트</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질문</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실물은 공급부족인가, 시장은 버블인가. 둘을 가르는 변수는 무엇인가</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 대상</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마이크론·삼성전자·SK하이닉스 및 AI 인프라·금리 체인</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다음 검증 창</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8/24 Bessent  ·  8/26 NVIDIA  ·  8/28 Jackson Hole / Kevin Warsh</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한계</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숫자·시나리오는 당일 공개 코멘트 기준. 매수·매도 추천이 아님</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핵심 요약</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판단</w:t>
            </w:r>
          </w:p>
          <w:p>
            <w:pPr>
              <w:spacing w:after="20" w:before="0" w:line="276" w:lineRule="auto"/>
            </w:pPr>
            <w:r>
              <w:rPr>
                <w:rFonts w:ascii="맑은 고딕" w:hAnsi="맑은 고딕" w:eastAsia="맑은 고딕"/>
                <w:b w:val="0"/>
                <w:i w:val="0"/>
                <w:color w:val="1A1A1A"/>
                <w:sz w:val="21"/>
              </w:rPr>
              <w:t>실물 쪽은 아직 버블이 아니다. 시장 쪽은 역사적으로 비싸다. 약한 고리는 업황이 아니라 자금이다.</w:t>
            </w:r>
          </w:p>
          <w:p>
            <w:pPr>
              <w:spacing w:after="20" w:before="0" w:line="276" w:lineRule="auto"/>
            </w:pPr>
            <w:r>
              <w:rPr>
                <w:rFonts w:ascii="맑은 고딕" w:hAnsi="맑은 고딕" w:eastAsia="맑은 고딕"/>
                <w:b w:val="0"/>
                <w:i w:val="0"/>
                <w:color w:val="1A1A1A"/>
                <w:sz w:val="21"/>
              </w:rPr>
              <w:t>마이크론은 고객 구매의향이 공급 약속의 약 150%이고, 조달은 입찰에서 공동설계로 바뀌었다.</w:t>
            </w:r>
          </w:p>
          <w:p>
            <w:pPr>
              <w:spacing w:after="20" w:before="0" w:line="276" w:lineRule="auto"/>
            </w:pPr>
            <w:r>
              <w:rPr>
                <w:rFonts w:ascii="맑은 고딕" w:hAnsi="맑은 고딕" w:eastAsia="맑은 고딕"/>
                <w:b w:val="0"/>
                <w:i w:val="0"/>
                <w:color w:val="1A1A1A"/>
                <w:sz w:val="21"/>
              </w:rPr>
              <w:t>Dudley의 2027년 붕괴 전제(CAPEX 증가율 둔화)는 아직 조짐을 찾기 어렵다.</w:t>
            </w:r>
          </w:p>
          <w:p>
            <w:pPr>
              <w:spacing w:after="20" w:before="0" w:line="276" w:lineRule="auto"/>
            </w:pPr>
            <w:r>
              <w:rPr>
                <w:rFonts w:ascii="맑은 고딕" w:hAnsi="맑은 고딕" w:eastAsia="맑은 고딕"/>
                <w:b w:val="0"/>
                <w:i w:val="0"/>
                <w:color w:val="1A1A1A"/>
                <w:sz w:val="21"/>
              </w:rPr>
              <w:t>방향성을 믿되 계속 검증한다. 검증 창은 금리(30Y TIPS·10Y)와 NVIDIA 실적이다.</w:t>
            </w:r>
          </w:p>
        </w:tc>
      </w:tr>
    </w:tbl>
    <w:p>
      <w:pPr>
        <w:spacing w:after="120"/>
      </w:pPr>
    </w:p>
    <w:p>
      <w:pPr>
        <w:spacing w:before="200" w:after="80"/>
      </w:pPr>
      <w:r>
        <w:rPr>
          <w:rFonts w:ascii="맑은 고딕" w:hAnsi="맑은 고딕" w:eastAsia="맑은 고딕"/>
          <w:b/>
          <w:i w:val="0"/>
          <w:color w:val="1E407C"/>
          <w:sz w:val="26"/>
        </w:rPr>
        <w:t>0-1. 다섯 가지 결론</w:t>
      </w:r>
    </w:p>
    <w:p>
      <w:pPr>
        <w:spacing w:after="120" w:before="0" w:line="283" w:lineRule="auto"/>
        <w:jc w:val="left"/>
      </w:pPr>
      <w:r>
        <w:rPr>
          <w:rFonts w:ascii="맑은 고딕" w:hAnsi="맑은 고딕" w:eastAsia="맑은 고딕"/>
          <w:b w:val="0"/>
          <w:i w:val="0"/>
          <w:color w:val="1A1A1A"/>
          <w:sz w:val="22"/>
        </w:rPr>
        <w:t>첫째, 마이크론 CEO 발언의 핵심은 150%라는 숫자 자체가 아니다. 데이터센터 고객이 받고 싶은 물량이, 마이크론이 계약으로 약속할 수 있는 용량을 약 50% 웃돈다는 수요 신호이며, 더 중요한 것은 조달 방식이 가격 비교·입찰에서 공동설계(co-design)로 이동했다는 점이다. Memory Supplier에서 Strategic Partner로의 위상 변화가 다른 메모리 업체에도 공통으로 적용된다. 다만 “메모리 사이클이 사라졌다”고 읽으면 과장이다. AI 메모리는 과거 범용 DRAM과 다른 사이클 구조로 이동 중이다.</w:t>
      </w:r>
    </w:p>
    <w:p>
      <w:pPr>
        <w:spacing w:after="120" w:before="0" w:line="283" w:lineRule="auto"/>
        <w:jc w:val="left"/>
      </w:pPr>
      <w:r>
        <w:rPr>
          <w:rFonts w:ascii="맑은 고딕" w:hAnsi="맑은 고딕" w:eastAsia="맑은 고딕"/>
          <w:b w:val="0"/>
          <w:i w:val="0"/>
          <w:color w:val="1A1A1A"/>
          <w:sz w:val="22"/>
        </w:rPr>
        <w:t>둘째, 8월 20~21일 미국장은 강한 경기와 높은 금리가 충돌한 세션이다. 8/20에는 금리·유가·월마트가 지수를 눌렀고 메모리는 반대로 강했다. 8/21에는 서비스 PMI 56.8에 다우가 반등했지만, 주간을 지배한 것은 경기가 아니라 금리다. 국채 바이백은 8/19에 하루 먹히고 8/20~21에 효과가 소멸했다. 바이백은 QE가 아니다.</w:t>
      </w:r>
    </w:p>
    <w:p>
      <w:pPr>
        <w:spacing w:after="120" w:before="0" w:line="283" w:lineRule="auto"/>
        <w:jc w:val="left"/>
      </w:pPr>
      <w:r>
        <w:rPr>
          <w:rFonts w:ascii="맑은 고딕" w:hAnsi="맑은 고딕" w:eastAsia="맑은 고딕"/>
          <w:b w:val="0"/>
          <w:i w:val="0"/>
          <w:color w:val="1A1A1A"/>
          <w:sz w:val="22"/>
        </w:rPr>
        <w:t>셋째, Bill Dudley(8/20)는 CAPE 약 41배, 실질 위험 프리미엄 약 1.1%, 버핏 지표 약 240%를 들어 시장이 버블 영역에 있으며 2027년 말 이전에 터질 가능성이 높다고 본다. 전제는 2027년 AI CAPEX 증가율 둔화다. 반론은 그 전제부터다. 증가율 둔화 조짐은 아직 찾기 어렵고, 절대 CAPEX·백로그 2~3배·토큰 증가·공급제약이 단기 반론이다. 제약이 풀리면 산업이 활성화되고, 남으면 나중에 가격이 내려가도 폭은 제한되어 한 차원 높은 이익 레벨이 연장될 수 있다.</w:t>
      </w:r>
    </w:p>
    <w:p>
      <w:pPr>
        <w:spacing w:after="120" w:before="0" w:line="283" w:lineRule="auto"/>
        <w:jc w:val="left"/>
      </w:pPr>
      <w:r>
        <w:rPr>
          <w:rFonts w:ascii="맑은 고딕" w:hAnsi="맑은 고딕" w:eastAsia="맑은 고딕"/>
          <w:b w:val="0"/>
          <w:i w:val="0"/>
          <w:color w:val="1A1A1A"/>
          <w:sz w:val="22"/>
        </w:rPr>
        <w:t>넷째, 2025년 초부터의 Buffett Indicator 경고는 ‘곧 폭락’ 예고가 아니라 밸류에이션 정상화의 필요성이었다. 1년 반이 지나도 시장은 더 올랐고 지표는 235~240%까지 올라갔다. 지금부터의 질문은 “언제 터지느냐”가 아니라 “무엇이 이 상승을 멈추게 할 것이냐”이다. 후보 경로는 AI CAPEX 증가율 둔화 → 매출/ROIC 실망 → 장기금리 상승 → PER 축소다.</w:t>
      </w:r>
    </w:p>
    <w:p>
      <w:pPr>
        <w:spacing w:after="120" w:before="0" w:line="283" w:lineRule="auto"/>
        <w:jc w:val="left"/>
      </w:pPr>
      <w:r>
        <w:rPr>
          <w:rFonts w:ascii="맑은 고딕" w:hAnsi="맑은 고딕" w:eastAsia="맑은 고딕"/>
          <w:b w:val="0"/>
          <w:i w:val="0"/>
          <w:color w:val="1A1A1A"/>
          <w:sz w:val="22"/>
        </w:rPr>
        <w:t>다섯째, AI·메모리 주식의 단기 핵심 변수는 Fed 정책금리보다 30년 TIPS 실질금리다. 지금 2.94%, 경계선은 3.0%다. Rosenberg는 최근 10년물 상승의 상당 부분을 하이퍼스케일러 장기채 발행으로 보고, 정부는 10년물 5%를 허용하지 않을 것이라는 해석이 나온다. 정책 선택은 빅테크 투자 자제가 아니라 원활화다. 미국 성장은 AI가 주춤하는 순간 물건너 간다. 임계점은 있다는 비관도 타당하나, 그 점을 정확히 아는 사람은 없다. 특히 메모리 주가는 우려를 상당히 반영한 상태로 본다.</w:t>
      </w:r>
    </w:p>
    <w:p>
      <w:pPr>
        <w:spacing w:before="200" w:after="80"/>
      </w:pPr>
      <w:r>
        <w:rPr>
          <w:rFonts w:ascii="맑은 고딕" w:hAnsi="맑은 고딕" w:eastAsia="맑은 고딕"/>
          <w:b/>
          <w:i w:val="0"/>
          <w:color w:val="1E407C"/>
          <w:sz w:val="26"/>
        </w:rPr>
        <w:t>0-2. 핵심 숫자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85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해석</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수요</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구매의향 ≈ 공급약속의 150%</w:t>
            </w:r>
          </w:p>
          <w:p>
            <w:pPr>
              <w:spacing w:before="0" w:after="0" w:line="269" w:lineRule="auto"/>
              <w:jc w:val="center"/>
            </w:pPr>
            <w:r>
              <w:rPr>
                <w:rFonts w:ascii="맑은 고딕" w:hAnsi="맑은 고딕" w:eastAsia="맑은 고딕"/>
                <w:b w:val="0"/>
                <w:i w:val="0"/>
                <w:color w:val="1A1A1A"/>
                <w:sz w:val="19"/>
              </w:rPr>
              <w:t>수요가 공급을 약 50% 초과</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수주잔고 1.5배가 아님.</w:t>
            </w:r>
          </w:p>
          <w:p>
            <w:pPr>
              <w:spacing w:before="0" w:after="0" w:line="269" w:lineRule="auto"/>
              <w:jc w:val="center"/>
            </w:pPr>
            <w:r>
              <w:rPr>
                <w:rFonts w:ascii="맑은 고딕" w:hAnsi="맑은 고딕" w:eastAsia="맑은 고딕"/>
                <w:b w:val="0"/>
                <w:i w:val="0"/>
                <w:color w:val="1A1A1A"/>
                <w:sz w:val="19"/>
              </w:rPr>
              <w:t>할당·장기계약 국면</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미국장 8/20</w:t>
            </w:r>
          </w:p>
        </w:tc>
        <w:tc>
          <w:tcPr>
            <w:tcW w:type="dxa" w:w="385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S&amp;P −0.85% · Nasdaq −1.00%</w:t>
            </w:r>
          </w:p>
          <w:p>
            <w:pPr>
              <w:spacing w:before="0" w:after="0" w:line="269" w:lineRule="auto"/>
              <w:jc w:val="center"/>
            </w:pPr>
            <w:r>
              <w:rPr>
                <w:rFonts w:ascii="맑은 고딕" w:hAnsi="맑은 고딕" w:eastAsia="맑은 고딕"/>
                <w:b w:val="0"/>
                <w:i w:val="0"/>
                <w:color w:val="1A1A1A"/>
                <w:sz w:val="19"/>
              </w:rPr>
              <w:t>Dow −1.27% · SOX +0.53%</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지수와 메모리의 탈동조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미국장 8/21</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다우 +1% · 서비스 PMI 56.8</w:t>
            </w:r>
          </w:p>
          <w:p>
            <w:pPr>
              <w:spacing w:before="0" w:after="0" w:line="269" w:lineRule="auto"/>
              <w:jc w:val="center"/>
            </w:pPr>
            <w:r>
              <w:rPr>
                <w:rFonts w:ascii="맑은 고딕" w:hAnsi="맑은 고딕" w:eastAsia="맑은 고딕"/>
                <w:b w:val="0"/>
                <w:i w:val="0"/>
                <w:color w:val="1A1A1A"/>
                <w:sz w:val="19"/>
              </w:rPr>
              <w:t>10Y ~4.7% · 30Y ~5.27%</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경기는 강하나 시장은 금리</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월마트</w:t>
            </w:r>
          </w:p>
        </w:tc>
        <w:tc>
          <w:tcPr>
            <w:tcW w:type="dxa" w:w="385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동일점포 +2.6% vs 예상 +3.8%</w:t>
            </w:r>
          </w:p>
          <w:p>
            <w:pPr>
              <w:spacing w:before="0" w:after="0" w:line="269" w:lineRule="auto"/>
              <w:jc w:val="center"/>
            </w:pPr>
            <w:r>
              <w:rPr>
                <w:rFonts w:ascii="맑은 고딕" w:hAnsi="맑은 고딕" w:eastAsia="맑은 고딕"/>
                <w:b w:val="0"/>
                <w:i w:val="0"/>
                <w:color w:val="1A1A1A"/>
                <w:sz w:val="19"/>
              </w:rPr>
              <w:t>Health 제외 +3.4% · 전체 +5.9%</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침체가 아니라 둔화 초기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밸류에이션</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CAPE ~41배</w:t>
            </w:r>
          </w:p>
          <w:p>
            <w:pPr>
              <w:spacing w:before="0" w:after="0" w:line="269" w:lineRule="auto"/>
              <w:jc w:val="center"/>
            </w:pPr>
            <w:r>
              <w:rPr>
                <w:rFonts w:ascii="맑은 고딕" w:hAnsi="맑은 고딕" w:eastAsia="맑은 고딕"/>
                <w:b w:val="0"/>
                <w:i w:val="0"/>
                <w:color w:val="1A1A1A"/>
                <w:sz w:val="19"/>
              </w:rPr>
              <w:t>Buffett 235~240%</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비싸다는 진단은 맞음.</w:t>
            </w:r>
          </w:p>
          <w:p>
            <w:pPr>
              <w:spacing w:before="0" w:after="0" w:line="269" w:lineRule="auto"/>
              <w:jc w:val="center"/>
            </w:pPr>
            <w:r>
              <w:rPr>
                <w:rFonts w:ascii="맑은 고딕" w:hAnsi="맑은 고딕" w:eastAsia="맑은 고딕"/>
                <w:b w:val="0"/>
                <w:i w:val="0"/>
                <w:color w:val="1A1A1A"/>
                <w:sz w:val="19"/>
              </w:rPr>
              <w:t>즉시 붕괴는 아님</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30Y TIPS</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  (경계선 3.0%)</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2.87% 이하 우호 / 3% 돌파 경계</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수출 1~20일</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전체 +25.5% MoM · 단가 +7.6%</w:t>
            </w:r>
          </w:p>
          <w:p>
            <w:pPr>
              <w:spacing w:before="0" w:after="0" w:line="269" w:lineRule="auto"/>
              <w:jc w:val="center"/>
            </w:pPr>
            <w:r>
              <w:rPr>
                <w:rFonts w:ascii="맑은 고딕" w:hAnsi="맑은 고딕" w:eastAsia="맑은 고딕"/>
                <w:b w:val="0"/>
                <w:i w:val="0"/>
                <w:color w:val="1A1A1A"/>
                <w:sz w:val="19"/>
              </w:rPr>
              <w:t>Flash +80.7% · MCP +45.5%</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DRAM은 숨고 HBM/NAND로 확산</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 환원</w:t>
            </w:r>
          </w:p>
        </w:tc>
        <w:tc>
          <w:tcPr>
            <w:tcW w:type="dxa" w:w="385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2026년 90~110조</w:t>
            </w:r>
          </w:p>
          <w:p>
            <w:pPr>
              <w:spacing w:before="0" w:after="0" w:line="269" w:lineRule="auto"/>
              <w:jc w:val="center"/>
            </w:pPr>
            <w:r>
              <w:rPr>
                <w:rFonts w:ascii="맑은 고딕" w:hAnsi="맑은 고딕" w:eastAsia="맑은 고딕"/>
                <w:b w:val="0"/>
                <w:i w:val="0"/>
                <w:color w:val="1A1A1A"/>
                <w:sz w:val="19"/>
              </w:rPr>
              <w:t>3년 누적 120~140조</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조정 FCF의 50%.</w:t>
            </w:r>
          </w:p>
          <w:p>
            <w:pPr>
              <w:spacing w:before="0" w:after="0" w:line="269" w:lineRule="auto"/>
              <w:jc w:val="center"/>
            </w:pPr>
            <w:r>
              <w:rPr>
                <w:rFonts w:ascii="맑은 고딕" w:hAnsi="맑은 고딕" w:eastAsia="맑은 고딕"/>
                <w:b w:val="0"/>
                <w:i w:val="0"/>
                <w:color w:val="1A1A1A"/>
                <w:sz w:val="19"/>
              </w:rPr>
              <w:t>현 주가는 일단 타당</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하이닉스 환원</w:t>
            </w:r>
          </w:p>
        </w:tc>
        <w:tc>
          <w:tcPr>
            <w:tcW w:type="dxa" w:w="385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40조 자사주 + FCF 50% 초과</w:t>
            </w:r>
          </w:p>
          <w:p>
            <w:pPr>
              <w:spacing w:before="0" w:after="0" w:line="269" w:lineRule="auto"/>
              <w:jc w:val="center"/>
            </w:pPr>
            <w:r>
              <w:rPr>
                <w:rFonts w:ascii="맑은 고딕" w:hAnsi="맑은 고딕" w:eastAsia="맑은 고딕"/>
                <w:b w:val="0"/>
                <w:i w:val="0"/>
                <w:color w:val="1A1A1A"/>
                <w:sz w:val="19"/>
              </w:rPr>
              <w:t>추가분은 3Q26 발표</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스퀘어는 특별배당 proxy</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환원</w:t>
            </w:r>
          </w:p>
        </w:tc>
        <w:tc>
          <w:tcPr>
            <w:tcW w:type="dxa" w:w="385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12/9 CHIPS 제한 종료</w:t>
            </w:r>
          </w:p>
          <w:p>
            <w:pPr>
              <w:spacing w:before="0" w:after="0" w:line="269" w:lineRule="auto"/>
              <w:jc w:val="center"/>
            </w:pPr>
            <w:r>
              <w:rPr>
                <w:rFonts w:ascii="맑은 고딕" w:hAnsi="맑은 고딕" w:eastAsia="맑은 고딕"/>
                <w:b w:val="0"/>
                <w:i w:val="0"/>
                <w:color w:val="1A1A1A"/>
                <w:sz w:val="19"/>
              </w:rPr>
              <w:t>27~28 FCF ~$380B (UBS)</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3사 환원 경쟁</w:t>
            </w:r>
          </w:p>
        </w:tc>
      </w:tr>
    </w:tbl>
    <w:p>
      <w:pPr>
        <w:spacing w:after="160" w:before="40"/>
      </w:pPr>
    </w:p>
    <w:p>
      <w:pPr>
        <w:spacing w:before="200" w:after="80"/>
      </w:pPr>
      <w:r>
        <w:rPr>
          <w:rFonts w:ascii="맑은 고딕" w:hAnsi="맑은 고딕" w:eastAsia="맑은 고딕"/>
          <w:b/>
          <w:i w:val="0"/>
          <w:color w:val="1E407C"/>
          <w:sz w:val="26"/>
        </w:rPr>
        <w:t>0-3. 목차</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90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장</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제목</w:t>
            </w:r>
          </w:p>
        </w:tc>
        <w:tc>
          <w:tcPr>
            <w:tcW w:type="dxa" w:w="56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장에서 답하는 질문</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분석의 프레임</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공급부족과 버블 주장이 왜 동시에 나오는가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마이크론 150%와 공동설계</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150%의 정의, 오독, 조달 구조의 변화</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III</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미국장과 월마트</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8/20~21을 어떻게 읽을 것인가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IV</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Dudley 버블론과 반론</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 붕괴 전제는 성립하는가</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Buffett Indicator와 CAPE</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고평가 경고가 틀린 것과 틀린 것이 아닌 것</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장기금리와 자금</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Rosenberg, Bessent Put</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4뉴스와 AI 금융화</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칩·HBM·패키징·DC·전력이 금융과 어떻게 붙는가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VIII</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 통계와 주주환원</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업사이클 현금을 주주와 어떻게 나누는가</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IX</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효율화와 자체칩</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Meta·Anthropic·Waymo는 수요를 깎는가</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X</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국내 종목</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SK, 스퀘어, 네오티스, 솔리다임, NAVER</w:t>
            </w:r>
          </w:p>
        </w:tc>
      </w:tr>
      <w:tr>
        <w:trPr>
          <w:cantSplit/>
        </w:trPr>
        <w:tc>
          <w:tcPr>
            <w:tcW w:type="dxa" w:w="90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XI</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바이오</w:t>
            </w:r>
          </w:p>
        </w:tc>
        <w:tc>
          <w:tcPr>
            <w:tcW w:type="dxa" w:w="56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모더나 급등과 급락, 8월 선별 국면</w:t>
            </w:r>
          </w:p>
        </w:tc>
      </w:tr>
      <w:tr>
        <w:trPr>
          <w:cantSplit/>
        </w:trPr>
        <w:tc>
          <w:tcPr>
            <w:tcW w:type="dxa" w:w="90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XII</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종합 판단</w:t>
            </w:r>
          </w:p>
        </w:tc>
        <w:tc>
          <w:tcPr>
            <w:tcW w:type="dxa" w:w="56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검증 체크리스트와 다음 주 이벤트</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  </w:t>
      </w:r>
      <w:r>
        <w:rPr>
          <w:rFonts w:ascii="맑은 고딕" w:hAnsi="맑은 고딕" w:eastAsia="맑은 고딕"/>
          <w:b/>
          <w:i w:val="0"/>
          <w:color w:val="0F2043"/>
          <w:sz w:val="32"/>
        </w:rPr>
        <w:t>분석의 프레임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같은 AI 사이클을 놓고 한쪽은 공급이 따라가지 못한다고 하고, 다른 쪽은 공급과잉이 온다고 한다.</w:t>
            </w:r>
          </w:p>
          <w:p>
            <w:pPr>
              <w:spacing w:after="20" w:before="0" w:line="276" w:lineRule="auto"/>
            </w:pPr>
            <w:r>
              <w:rPr>
                <w:rFonts w:ascii="맑은 고딕" w:hAnsi="맑은 고딕" w:eastAsia="맑은 고딕"/>
                <w:b w:val="0"/>
                <w:i w:val="0"/>
                <w:color w:val="1A1A1A"/>
                <w:sz w:val="21"/>
              </w:rPr>
              <w:t>이 간극을 메우는 질문은 두 개다. 수요·토큰이 데이터센터 용량보다 빠른가. 자금의 약한 고리가 실제로 깨지는가.</w:t>
            </w:r>
          </w:p>
        </w:tc>
      </w:tr>
    </w:tbl>
    <w:p>
      <w:pPr>
        <w:spacing w:after="120"/>
      </w:pPr>
    </w:p>
    <w:p>
      <w:pPr>
        <w:spacing w:after="120" w:before="0" w:line="283" w:lineRule="auto"/>
        <w:jc w:val="left"/>
      </w:pPr>
      <w:r>
        <w:rPr>
          <w:rFonts w:ascii="맑은 고딕" w:hAnsi="맑은 고딕" w:eastAsia="맑은 고딕"/>
          <w:b w:val="0"/>
          <w:i w:val="0"/>
          <w:color w:val="1A1A1A"/>
          <w:sz w:val="22"/>
        </w:rPr>
        <w:t>8월 21일 하루의 코멘트는 아침과 저녁이 다른 이야기를 하는 것처럼 보인다. 아침에는 마이크론 CEO가 수요가 공급을 약 50% 초과하고 고객과 제품을 같이 설계한다고 했다. 저녁에는 전 뉴욕연은 총재 Bill Dudley가 미국 주식이 버블 영역에 있으며 2027년 말 이전에 터질 가능성이 높다고 썼다. 둘은 모순처럼 보이지만, 사실은 같은 사이클의 다른 층위를 보고 있다.</w:t>
      </w:r>
    </w:p>
    <w:p>
      <w:pPr>
        <w:spacing w:after="120" w:before="0" w:line="283" w:lineRule="auto"/>
        <w:jc w:val="left"/>
      </w:pPr>
      <w:r>
        <w:rPr>
          <w:rFonts w:ascii="맑은 고딕" w:hAnsi="맑은 고딕" w:eastAsia="맑은 고딕"/>
          <w:b w:val="0"/>
          <w:i w:val="0"/>
          <w:color w:val="1A1A1A"/>
          <w:sz w:val="22"/>
        </w:rPr>
        <w:t>실물 층위에서는 HBM·GPU·네트워크·전력·건설 노동자가 아직 부족하다. 부족이 계속되면 공급과잉(버블의 고전적 정의) 자체가 성립하기 어렵다. 가격 층위에서는 CAPE 41배, Buffett Indicator 235~240%로 시장이 역사적으로 비싸다. 비싸다는 진단과 곧바로 붕괴한다는 예측은 다른 명제다. 자금 층위에서는 하이퍼스케일러의 장기채, 브로드컴·엔비디아의 SPV, OpenAI·Oracle 같은 약한 고리가 있다. 이 레포트는 세 층위를 나눠 읽고, 마지막에 다시 한 줄로 모은다.</w:t>
      </w:r>
    </w:p>
    <w:p>
      <w:pPr>
        <w:spacing w:before="80" w:after="160" w:line="288" w:lineRule="auto"/>
        <w:jc w:val="center"/>
      </w:pPr>
      <w:r>
        <w:rPr>
          <w:rFonts w:ascii="맑은 고딕" w:hAnsi="맑은 고딕" w:eastAsia="맑은 고딕"/>
          <w:b/>
          <w:i w:val="0"/>
          <w:color w:val="0F2043"/>
          <w:sz w:val="22"/>
        </w:rPr>
        <w:t>실물: 공급부족</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가격: 역사적 고평가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자금: 레버리지 확대</w:t>
      </w:r>
    </w:p>
    <w:p>
      <w:pPr>
        <w:spacing w:after="120" w:before="0" w:line="283" w:lineRule="auto"/>
        <w:jc w:val="left"/>
      </w:pPr>
      <w:r>
        <w:rPr>
          <w:rFonts w:ascii="맑은 고딕" w:hAnsi="맑은 고딕" w:eastAsia="맑은 고딕"/>
          <w:b w:val="0"/>
          <w:i w:val="0"/>
          <w:color w:val="1A1A1A"/>
          <w:sz w:val="22"/>
        </w:rPr>
        <w:t>관통하는 산업 흐름도 같다. AI 수요가 늘면 HBM과 AI ASIC이 필요하고, 데이터센터 CAPEX가 폭증한다. CAPEX가 현금흐름만으로 감당하기 어려워지자 private credit과 부채가 붙는다. Broadcom과 Anthropic이 금융 구조에 들어가고, 동시에 Micron과 Samsung은 메모리·패키징 생산능력을 선제적으로 확대한다. 사이클은 더 이상 “GPU를 많이 산다”가 아니다. 칩 → HBM → 패키징 → 데이터센터 → 전력 → 금융으로 밸류체인 전체가 한 묶음이 되었다.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II.  </w:t>
      </w:r>
      <w:r>
        <w:rPr>
          <w:rFonts w:ascii="맑은 고딕" w:hAnsi="맑은 고딕" w:eastAsia="맑은 고딕"/>
          <w:b/>
          <w:i w:val="0"/>
          <w:color w:val="0F2043"/>
          <w:sz w:val="32"/>
        </w:rPr>
        <w:t>마이크론 — 수요 150%와 공동설계</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구매의향이 공급 약속의 약 150%라는 것은 ‘지금 출하가 50% 모자란다’가 아니라, 받고 싶은 물량이 commit 가능 용량을 웃돈다는 신호다.</w:t>
            </w:r>
          </w:p>
          <w:p>
            <w:pPr>
              <w:spacing w:after="20" w:before="0" w:line="276" w:lineRule="auto"/>
            </w:pPr>
            <w:r>
              <w:rPr>
                <w:rFonts w:ascii="맑은 고딕" w:hAnsi="맑은 고딕" w:eastAsia="맑은 고딕"/>
                <w:b w:val="0"/>
                <w:i w:val="0"/>
                <w:color w:val="1A1A1A"/>
                <w:sz w:val="21"/>
              </w:rPr>
              <w:t>150%보다 중요한 문장은 조달이 입찰에서 공동설계로 바뀌었다는 것이다. Memory Supplier → Strategic Partner.</w:t>
            </w:r>
          </w:p>
          <w:p>
            <w:pPr>
              <w:spacing w:after="20" w:before="0" w:line="276" w:lineRule="auto"/>
            </w:pPr>
            <w:r>
              <w:rPr>
                <w:rFonts w:ascii="맑은 고딕" w:hAnsi="맑은 고딕" w:eastAsia="맑은 고딕"/>
                <w:b w:val="0"/>
                <w:i w:val="0"/>
                <w:color w:val="1A1A1A"/>
                <w:sz w:val="21"/>
              </w:rPr>
              <w:t>사이클이 사라진 것이 아니라, 진폭의 원인과 주기가 바뀌었다.</w:t>
            </w:r>
          </w:p>
        </w:tc>
      </w:tr>
    </w:tbl>
    <w:p>
      <w:pPr>
        <w:spacing w:after="120"/>
      </w:pPr>
    </w:p>
    <w:p>
      <w:pPr>
        <w:spacing w:before="200" w:after="80"/>
      </w:pPr>
      <w:r>
        <w:rPr>
          <w:rFonts w:ascii="맑은 고딕" w:hAnsi="맑은 고딕" w:eastAsia="맑은 고딕"/>
          <w:b/>
          <w:i w:val="0"/>
          <w:color w:val="1E407C"/>
          <w:sz w:val="26"/>
        </w:rPr>
        <w:t>1. 발언의 맥락과 원문</w:t>
      </w:r>
    </w:p>
    <w:p>
      <w:pPr>
        <w:spacing w:after="120" w:before="0" w:line="283" w:lineRule="auto"/>
        <w:jc w:val="left"/>
      </w:pPr>
      <w:r>
        <w:rPr>
          <w:rFonts w:ascii="맑은 고딕" w:hAnsi="맑은 고딕" w:eastAsia="맑은 고딕"/>
          <w:b w:val="0"/>
          <w:i w:val="0"/>
          <w:color w:val="1A1A1A"/>
          <w:sz w:val="22"/>
        </w:rPr>
        <w:t>출처는 월가견문(wallstreetcn)이 전한 마이크론 CEO 산제이 메흐로트라(Sanjay Mehrotra) 발언이다. 제목의 요지는 “AI가 메모리 반도체 사이클을 완전히 재편했다”이다. 원문을 세 문장으로 나누면 다음과 같다.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AI가 메모리 반도체를 높은 경기순환성을 가진 범용 부품에서, AI 인프라에 필수적인 전략적 부품으로 바꿨다.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 데이터센터 고객들의 구매 의향(willingness to buy)은 마이크론이 실제로 공급을 약속할 수 있는 물량의 약 150% 수준이다.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마이크론은 생산능력을 확대하고 있지만 여전히 시장 수요를 충족하지 못하고 있다.</w:t>
      </w:r>
    </w:p>
    <w:p>
      <w:pPr>
        <w:spacing w:after="120" w:before="0" w:line="283" w:lineRule="auto"/>
        <w:jc w:val="left"/>
      </w:pPr>
      <w:r>
        <w:rPr>
          <w:rFonts w:ascii="맑은 고딕" w:hAnsi="맑은 고딕" w:eastAsia="맑은 고딕"/>
          <w:b w:val="0"/>
          <w:i w:val="0"/>
          <w:color w:val="1A1A1A"/>
          <w:sz w:val="22"/>
        </w:rPr>
        <w:t>같은 보도는 조달 방식의 변화도 명시한다. 기존의 ‘가격 비교·입찰’ 중심에서, 고객과 함께 제품을 설계하는 공동설계로 전환되고 있다는 것이다. 중국어 헤드라인은 “고객 수요가 회사 공급을 약 50% 초과”로 요약한다. 150%와 50% 초과는 같은 말의 다른 표현이다.</w:t>
      </w:r>
    </w:p>
    <w:p>
      <w:pPr>
        <w:spacing w:before="200" w:after="80"/>
      </w:pPr>
      <w:r>
        <w:rPr>
          <w:rFonts w:ascii="맑은 고딕" w:hAnsi="맑은 고딕" w:eastAsia="맑은 고딕"/>
          <w:b/>
          <w:i w:val="0"/>
          <w:color w:val="1E407C"/>
          <w:sz w:val="26"/>
        </w:rPr>
        <w:t>2. 150%를 숫자로 푸는 방법</w:t>
      </w:r>
    </w:p>
    <w:p>
      <w:pPr>
        <w:spacing w:after="120" w:before="0" w:line="283" w:lineRule="auto"/>
        <w:jc w:val="left"/>
      </w:pPr>
      <w:r>
        <w:rPr>
          <w:rFonts w:ascii="맑은 고딕" w:hAnsi="맑은 고딕" w:eastAsia="맑은 고딕"/>
          <w:b w:val="0"/>
          <w:i w:val="0"/>
          <w:color w:val="1A1A1A"/>
          <w:sz w:val="22"/>
        </w:rPr>
        <w:t>이 숫자를 잘못 읽으면 분석 전체가 틀린다. 150%는 재고비율도 아니고, 이미 장부에 올라온 수주잔고가 공급능력의 1.5배라는 뜻도 아니다. CEO가 사용한 분자는 고객의 구매 의향이고, 분모는 마이크론이 계약으로 공급을 약속할 수 있는 물량이다. 분모에는 웨이퍼 투입, HBM 스택, 후공정, 수율, 전력·장비 병목이 이미 들어가 있다. 명목 CAPA 전체가 이미 팔렸다는 선언이 아니다.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표현</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정의</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오독하면</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구매의향 150%</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사고 싶다고 하는 물량</w:t>
            </w:r>
          </w:p>
          <w:p>
            <w:pPr>
              <w:spacing w:before="0" w:after="0" w:line="269" w:lineRule="auto"/>
              <w:jc w:val="center"/>
            </w:pPr>
            <w:r>
              <w:rPr>
                <w:rFonts w:ascii="맑은 고딕" w:hAnsi="맑은 고딕" w:eastAsia="맑은 고딕"/>
                <w:b w:val="0"/>
                <w:i w:val="0"/>
                <w:color w:val="1A1A1A"/>
                <w:sz w:val="19"/>
              </w:rPr>
              <w:t>÷ 계약으로 약속 가능한 물량</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수주잔고가 이미 1.5배</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수요가 공급을 약 50% 초과</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위와 같은 말의 다른 표현</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재고가 50% 부족하다는 재고비율</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공급을 약속할 수 있는 물량</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병목 안에서 실제로 commit 가능한 용량</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 생산능력 전부가 소진</w:t>
            </w:r>
          </w:p>
        </w:tc>
      </w:tr>
    </w:tbl>
    <w:p>
      <w:pPr>
        <w:spacing w:after="160" w:before="40"/>
      </w:pPr>
    </w:p>
    <w:p>
      <w:pPr>
        <w:spacing w:after="120" w:before="0" w:line="283" w:lineRule="auto"/>
        <w:jc w:val="left"/>
      </w:pPr>
      <w:r>
        <w:rPr>
          <w:rFonts w:ascii="맑은 고딕" w:hAnsi="맑은 고딕" w:eastAsia="맑은 고딕"/>
          <w:b w:val="0"/>
          <w:i w:val="0"/>
          <w:color w:val="1A1A1A"/>
          <w:sz w:val="22"/>
        </w:rPr>
        <w:t>따라서 150%의 정확한 함의는 “지금 당장 출하가 50% 모자란다”보다 “고객이 받고 싶은 물량이 공급 가시성을 크게 웃돈다”는 수요 신호에 가깝다. 이런 국면에서는 스팟 가격의 일일 등락보다 할당(allocation)과 장기 계약이 가격 결정에 더 큰 비중을 차지한다. 고객은 가격을 깎는 협상력을 일부 포기하더라도 물량을 확보하려 하고, 공급사는 가격보다 어느 고객·어느 세대에 웨이퍼를 넣을지를 먼저 정한다.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해석 주의</w:t>
            </w:r>
          </w:p>
          <w:p>
            <w:pPr>
              <w:spacing w:after="20" w:before="0" w:line="276" w:lineRule="auto"/>
            </w:pPr>
            <w:r>
              <w:rPr>
                <w:rFonts w:ascii="맑은 고딕" w:hAnsi="맑은 고딕" w:eastAsia="맑은 고딕"/>
                <w:b w:val="0"/>
                <w:i w:val="0"/>
                <w:color w:val="1A1A1A"/>
                <w:sz w:val="21"/>
              </w:rPr>
              <w:t>150%는 한 시점의 질적 발언이다. 다음 분기 가이던스와 할당 발언, 그리고 8/26 NVIDIA 실적이 교차검증 창이다.</w:t>
            </w:r>
          </w:p>
          <w:p>
            <w:pPr>
              <w:spacing w:after="20" w:before="0" w:line="276" w:lineRule="auto"/>
            </w:pPr>
            <w:r>
              <w:rPr>
                <w:rFonts w:ascii="맑은 고딕" w:hAnsi="맑은 고딕" w:eastAsia="맑은 고딕"/>
                <w:b w:val="0"/>
                <w:i w:val="0"/>
                <w:color w:val="1A1A1A"/>
                <w:sz w:val="21"/>
              </w:rPr>
              <w:t>특정 1~2개 초대형 고객의 희망 수량일 가능성과, 데이터센터 고객 전반의 이야기일 가능성을 아직 나눠 봐야 한다.</w:t>
            </w:r>
          </w:p>
        </w:tc>
      </w:tr>
    </w:tbl>
    <w:p>
      <w:pPr>
        <w:spacing w:after="120"/>
      </w:pPr>
    </w:p>
    <w:p>
      <w:pPr>
        <w:spacing w:before="200" w:after="80"/>
      </w:pPr>
      <w:r>
        <w:rPr>
          <w:rFonts w:ascii="맑은 고딕" w:hAnsi="맑은 고딕" w:eastAsia="맑은 고딕"/>
          <w:b/>
          <w:i w:val="0"/>
          <w:color w:val="1E407C"/>
          <w:sz w:val="26"/>
        </w:rPr>
        <w:t>3. 조달 방식의 전환 — 입찰에서 공동설계로</w:t>
      </w:r>
    </w:p>
    <w:p>
      <w:pPr>
        <w:spacing w:after="120" w:before="0" w:line="283" w:lineRule="auto"/>
        <w:jc w:val="left"/>
      </w:pPr>
      <w:r>
        <w:rPr>
          <w:rFonts w:ascii="맑은 고딕" w:hAnsi="맑은 고딕" w:eastAsia="맑은 고딕"/>
          <w:b w:val="0"/>
          <w:i w:val="0"/>
          <w:color w:val="1A1A1A"/>
          <w:sz w:val="22"/>
        </w:rPr>
        <w:t>레포트가 150%보다 이 절을 더 길게 쓰는 이유가 있다. 숫자 150%는 공급 사이클이 타이트하다는 확인이다. 공동설계는 그 타이트함이 구조적으로 고착되는 메커니즘이다.</w:t>
      </w:r>
    </w:p>
    <w:p>
      <w:pPr>
        <w:spacing w:after="120" w:before="0" w:line="283" w:lineRule="auto"/>
        <w:jc w:val="left"/>
      </w:pPr>
      <w:r>
        <w:rPr>
          <w:rFonts w:ascii="맑은 고딕" w:hAnsi="맑은 고딕" w:eastAsia="맑은 고딕"/>
          <w:b w:val="0"/>
          <w:i w:val="0"/>
          <w:color w:val="1A1A1A"/>
          <w:sz w:val="22"/>
        </w:rPr>
        <w:t>과거 범용 메모리의 조달은 비교적 단순했다.</w:t>
      </w:r>
    </w:p>
    <w:p>
      <w:pPr>
        <w:spacing w:before="80" w:after="160" w:line="288" w:lineRule="auto"/>
        <w:jc w:val="center"/>
      </w:pPr>
      <w:r>
        <w:rPr>
          <w:rFonts w:ascii="맑은 고딕" w:hAnsi="맑은 고딕" w:eastAsia="맑은 고딕"/>
          <w:b/>
          <w:i w:val="0"/>
          <w:color w:val="0F2043"/>
          <w:sz w:val="22"/>
        </w:rPr>
        <w:t>스펙 제시</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복수 입찰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최저가 낙찰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교체 가능 부품</w:t>
      </w:r>
    </w:p>
    <w:p>
      <w:pPr>
        <w:spacing w:after="120" w:before="0" w:line="283" w:lineRule="auto"/>
        <w:jc w:val="left"/>
      </w:pPr>
      <w:r>
        <w:rPr>
          <w:rFonts w:ascii="맑은 고딕" w:hAnsi="맑은 고딕" w:eastAsia="맑은 고딕"/>
          <w:b w:val="0"/>
          <w:i w:val="0"/>
          <w:color w:val="1A1A1A"/>
          <w:sz w:val="22"/>
        </w:rPr>
        <w:t>고객은 여러 공급사에 같은 스펙을 뿌리고 가격을 비교했다. 메모리는 교체 가능한 범용 부품이었고, 공급이 늘면 가격이 빠르게 무너졌다. 이것이 전통적인 메모리 사이클의 핵심이다.</w:t>
      </w:r>
    </w:p>
    <w:p>
      <w:pPr>
        <w:spacing w:after="120" w:before="0" w:line="283" w:lineRule="auto"/>
        <w:jc w:val="left"/>
      </w:pPr>
      <w:r>
        <w:rPr>
          <w:rFonts w:ascii="맑은 고딕" w:hAnsi="맑은 고딕" w:eastAsia="맑은 고딕"/>
          <w:b w:val="0"/>
          <w:i w:val="0"/>
          <w:color w:val="1A1A1A"/>
          <w:sz w:val="22"/>
        </w:rPr>
        <w:t>지금 데이터센터·가속기 쪽 조달은 다른 경로를 탄다.</w:t>
      </w:r>
    </w:p>
    <w:p>
      <w:pPr>
        <w:spacing w:before="80" w:after="160" w:line="288" w:lineRule="auto"/>
        <w:jc w:val="center"/>
      </w:pPr>
      <w:r>
        <w:rPr>
          <w:rFonts w:ascii="맑은 고딕" w:hAnsi="맑은 고딕" w:eastAsia="맑은 고딕"/>
          <w:b/>
          <w:i w:val="0"/>
          <w:color w:val="0F2043"/>
          <w:sz w:val="22"/>
        </w:rPr>
        <w:t>워크로드 공유</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HBM·패키징 공동설계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장기 물량 약속</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전략 파트너</w:t>
      </w:r>
    </w:p>
    <w:p>
      <w:pPr>
        <w:spacing w:after="120" w:before="0" w:line="283" w:lineRule="auto"/>
        <w:jc w:val="left"/>
      </w:pPr>
      <w:r>
        <w:rPr>
          <w:rFonts w:ascii="맑은 고딕" w:hAnsi="맑은 고딕" w:eastAsia="맑은 고딕"/>
          <w:b w:val="0"/>
          <w:i w:val="0"/>
          <w:color w:val="1A1A1A"/>
          <w:sz w:val="22"/>
        </w:rPr>
        <w:t>하이퍼스케일러와 GPU/ASIC 업체는 다음 세대 가속기의 메모리 대역폭, 스택 높이, 전력, 패키징을 설계 단계에서 메모리 업체와 같이 정한다. 마이크론은 남는 웨이퍼를 파는 회사가 아니라, 그 가속기가 돌아가게 만드는 회사가 된다. 한 번 설계에 들어가면 다음 세대까지 교체 비용이 커진다. 이것이 사이클 진폭을 줄이는 이유다. 가격 협상력의 기준도 스팟 가격에서 확보 가능성·수율·전력 효율로 이동한다.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그래서 한 줄로</w:t>
            </w:r>
          </w:p>
          <w:p>
            <w:pPr>
              <w:spacing w:after="20" w:before="0" w:line="276" w:lineRule="auto"/>
            </w:pPr>
            <w:r>
              <w:rPr>
                <w:rFonts w:ascii="맑은 고딕" w:hAnsi="맑은 고딕" w:eastAsia="맑은 고딕"/>
                <w:b w:val="0"/>
                <w:i w:val="0"/>
                <w:color w:val="1A1A1A"/>
                <w:sz w:val="21"/>
              </w:rPr>
              <w:t>Memory Supplier  →  Strategic Partner</w:t>
            </w:r>
          </w:p>
          <w:p>
            <w:pPr>
              <w:spacing w:after="20" w:before="0" w:line="276" w:lineRule="auto"/>
            </w:pPr>
            <w:r>
              <w:rPr>
                <w:rFonts w:ascii="맑은 고딕" w:hAnsi="맑은 고딕" w:eastAsia="맑은 고딕"/>
                <w:b w:val="0"/>
                <w:i w:val="0"/>
                <w:color w:val="1A1A1A"/>
                <w:sz w:val="21"/>
              </w:rPr>
              <w:t>150%라는 숫자보다 이 변화가 훨씬 중요하다. 다른 메모리 업체도 같은 방향을 보고 있다.</w:t>
            </w:r>
          </w:p>
        </w:tc>
      </w:tr>
    </w:tbl>
    <w:p>
      <w:pPr>
        <w:spacing w:after="120"/>
      </w:pPr>
    </w:p>
    <w:p>
      <w:pPr>
        <w:spacing w:before="200" w:after="80"/>
      </w:pPr>
      <w:r>
        <w:rPr>
          <w:rFonts w:ascii="맑은 고딕" w:hAnsi="맑은 고딕" w:eastAsia="맑은 고딕"/>
          <w:b/>
          <w:i w:val="0"/>
          <w:color w:val="1E407C"/>
          <w:sz w:val="26"/>
        </w:rPr>
        <w:t>4. 사이클이 사라졌는가</w:t>
      </w:r>
    </w:p>
    <w:p>
      <w:pPr>
        <w:spacing w:after="120" w:before="0" w:line="283" w:lineRule="auto"/>
        <w:jc w:val="left"/>
      </w:pPr>
      <w:r>
        <w:rPr>
          <w:rFonts w:ascii="맑은 고딕" w:hAnsi="맑은 고딕" w:eastAsia="맑은 고딕"/>
          <w:b w:val="0"/>
          <w:i w:val="0"/>
          <w:color w:val="1A1A1A"/>
          <w:sz w:val="22"/>
        </w:rPr>
        <w:t>CEO 발언은 타당하다. 그러나 “메모리 사이클 자체가 사라졌다”고 읽으면 과장이다. 정확한 문장은 이것이다. AI 메모리는 과거 범용 메모리와 다른 사이클 구조로 이동하고 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과거 범용 DRAM</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지금 AI 메모리</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수요의 원천</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PC·모바일 재고 사이클</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데이터센터 · HBM · 가속기 세대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조달</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가격 비교 · 입찰</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공동설계 · 장기 할당</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공급 증가의 효과</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가격 급락이 빠름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공급을 늘려도 수요가 앞서는 구간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제품의 성격</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교체 가능한 부품</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시스템에 묶인 전략 부품</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조정의 속도</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재고 조정이 빠름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팹·후공정·전력 병목이 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사이클을 만드는 것</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재고와 가격</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증설 리드타임 · 패키징 · 전력 · 금융</w:t>
            </w:r>
          </w:p>
        </w:tc>
      </w:tr>
    </w:tbl>
    <w:p>
      <w:pPr>
        <w:spacing w:after="160" w:before="40"/>
      </w:pPr>
    </w:p>
    <w:p>
      <w:pPr>
        <w:spacing w:after="120" w:before="0" w:line="283" w:lineRule="auto"/>
        <w:jc w:val="left"/>
      </w:pPr>
      <w:r>
        <w:rPr>
          <w:rFonts w:ascii="맑은 고딕" w:hAnsi="맑은 고딕" w:eastAsia="맑은 고딕"/>
          <w:b w:val="0"/>
          <w:i w:val="0"/>
          <w:color w:val="1A1A1A"/>
          <w:sz w:val="22"/>
        </w:rPr>
        <w:t>사이클이 없어진 것이 아니라, 진폭의 원인과 주기가 바뀌었다. 과거에는 재고가 쌓이면 6~12개월 안에 가격이 무너질 수 있었다. 지금은 팹을 늘리고 후공정을 붙이고 전력을 끌어오는 데 수년이 걸린다. 그 사이 수요가 가속기 세대와 토큰 사용량을 따라 움직인다. 그래서 “사이클 소멸”이 아니라 “사이클의 재작성”이 정확한 제목이다.</w:t>
      </w:r>
    </w:p>
    <w:p>
      <w:pPr>
        <w:spacing w:after="120" w:before="0" w:line="283" w:lineRule="auto"/>
        <w:jc w:val="left"/>
      </w:pPr>
      <w:r>
        <w:rPr>
          <w:rFonts w:ascii="맑은 고딕" w:hAnsi="맑은 고딕" w:eastAsia="맑은 고딕"/>
          <w:b w:val="0"/>
          <w:i w:val="0"/>
          <w:color w:val="1A1A1A"/>
          <w:sz w:val="22"/>
        </w:rPr>
        <w:t>이 구분은 Dudley 논쟁과도 연결된다. 증설이 ‘수요를 따라잡는 증설’인 동안에는 공급부족 논리가 유지된다. 증설이 수요를 앞서기 시작하면, 그때서야 Dudley가 걱정하는 과잉 CAPA가 된다. 지금은 전자에 더 가깝다는 것이 이 레포트의 판단이다. 후자로의 전환 여부는 계속 검증해야 한다.</w:t>
      </w:r>
    </w:p>
    <w:p>
      <w:pPr>
        <w:spacing w:before="200" w:after="80"/>
      </w:pPr>
      <w:r>
        <w:rPr>
          <w:rFonts w:ascii="맑은 고딕" w:hAnsi="맑은 고딕" w:eastAsia="맑은 고딕"/>
          <w:b/>
          <w:i w:val="0"/>
          <w:color w:val="1E407C"/>
          <w:sz w:val="26"/>
        </w:rPr>
        <w:t>5. 같은 주 마이크론 관련 세 뉴스</w:t>
      </w:r>
    </w:p>
    <w:p>
      <w:pPr>
        <w:spacing w:before="160" w:after="60"/>
      </w:pPr>
      <w:r>
        <w:rPr>
          <w:rFonts w:ascii="맑은 고딕" w:hAnsi="맑은 고딕" w:eastAsia="맑은 고딕"/>
          <w:b/>
          <w:i w:val="0"/>
          <w:color w:val="0F2043"/>
          <w:sz w:val="23"/>
        </w:rPr>
        <w:t>주주환원 — 12월 9일 이후</w:t>
      </w:r>
    </w:p>
    <w:p>
      <w:pPr>
        <w:spacing w:after="120" w:before="0" w:line="283" w:lineRule="auto"/>
        <w:jc w:val="left"/>
      </w:pPr>
      <w:r>
        <w:rPr>
          <w:rFonts w:ascii="맑은 고딕" w:hAnsi="맑은 고딕" w:eastAsia="맑은 고딕"/>
          <w:b w:val="0"/>
          <w:i w:val="0"/>
          <w:color w:val="1A1A1A"/>
          <w:sz w:val="22"/>
        </w:rPr>
        <w:t>마이크론은 2024년 미국 정부 CHIPS Act 지원 조건 때문에 대규모 자사주 매입과 특별배당에 제약을 받아 왔다. 이 제한은 올해 12월 9일 종료된다. 회사는 그 이후 주주환원을 확대하겠다는 의사를 밝혔다. UBS의 Timothy Arcuri는 마이크론이 2027~2028년 약 3,800억 달러(약 530조 원)의 누적 FCF를 창출하고, 이 가운데 압도적 다수(vast majority)를 자사주 매입에 사용할 수 있다고 본다. 삼성전자·SK하이닉스가 같은 주 환원 정책을 구체화한 것과 맞물리면, 메모리 3사의 주주환원 경쟁으로 읽을 수 있다.</w:t>
      </w:r>
    </w:p>
    <w:p>
      <w:pPr>
        <w:spacing w:before="160" w:after="60"/>
      </w:pPr>
      <w:r>
        <w:rPr>
          <w:rFonts w:ascii="맑은 고딕" w:hAnsi="맑은 고딕" w:eastAsia="맑은 고딕"/>
          <w:b/>
          <w:i w:val="0"/>
          <w:color w:val="0F2043"/>
          <w:sz w:val="23"/>
        </w:rPr>
        <w:t>연구소 — 아이다호 Boise, 10년 100억 달러</w:t>
      </w:r>
    </w:p>
    <w:p>
      <w:pPr>
        <w:spacing w:after="120" w:before="0" w:line="283" w:lineRule="auto"/>
        <w:jc w:val="left"/>
      </w:pPr>
      <w:r>
        <w:rPr>
          <w:rFonts w:ascii="맑은 고딕" w:hAnsi="맑은 고딕" w:eastAsia="맑은 고딕"/>
          <w:b w:val="0"/>
          <w:i w:val="0"/>
          <w:color w:val="1A1A1A"/>
          <w:sz w:val="22"/>
        </w:rPr>
        <w:t>8월 20일 마이크론은 미국 아이다호 Boise에 Micron Research Labs 설립을 공식 발표했다. 향후 10년간 100억 달러(약 14조 원)를 투자한다. 2027년 착공, 수백 명의 연구인력을 확보할 계획이다. 단순한 제품 개발센터가 아니라 차세대 DRAM/HBM, 메모리와 컴퓨팅의 결합, advanced packaging, 차세대 제조기술을 다루는 장기 R&amp;D 허브다. 미국 내 생산시설 확대라는 큰 방향은 이미 진행 중이었다. 100억 달러 연구소 자체는 이번이 신규 발표다.</w:t>
      </w:r>
    </w:p>
    <w:p>
      <w:pPr>
        <w:spacing w:after="120" w:before="0" w:line="283" w:lineRule="auto"/>
        <w:jc w:val="left"/>
      </w:pPr>
      <w:r>
        <w:rPr>
          <w:rFonts w:ascii="맑은 고딕" w:hAnsi="맑은 고딕" w:eastAsia="맑은 고딕"/>
          <w:b w:val="0"/>
          <w:i w:val="0"/>
          <w:color w:val="1A1A1A"/>
          <w:sz w:val="22"/>
        </w:rPr>
        <w:t>투자 관점에서 이것은 단기 공급 증가 뉴스가 아니다. AI가 HBM의 중요성을 키우고, 메모리 기술 자체가 AI 시스템 경쟁력이 되며, 미국이 메모리 R&amp;D까지 내재화한다는 흐름이다. SK하이닉스·삼성전자와의 기술경쟁이 장기적으로 더 치열해질 수 있다는 의미다.</w:t>
      </w:r>
    </w:p>
    <w:p>
      <w:pPr>
        <w:spacing w:before="200" w:after="80"/>
      </w:pPr>
      <w:r>
        <w:rPr>
          <w:rFonts w:ascii="맑은 고딕" w:hAnsi="맑은 고딕" w:eastAsia="맑은 고딕"/>
          <w:b/>
          <w:i w:val="0"/>
          <w:color w:val="1E407C"/>
          <w:sz w:val="26"/>
        </w:rPr>
        <w:t>6. 다른 데이터와의 교차</w:t>
      </w:r>
    </w:p>
    <w:p>
      <w:pPr>
        <w:spacing w:after="120" w:before="0" w:line="283" w:lineRule="auto"/>
        <w:jc w:val="left"/>
      </w:pPr>
      <w:r>
        <w:rPr>
          <w:rFonts w:ascii="맑은 고딕" w:hAnsi="맑은 고딕" w:eastAsia="맑은 고딕"/>
          <w:b w:val="0"/>
          <w:i w:val="0"/>
          <w:color w:val="1A1A1A"/>
          <w:sz w:val="22"/>
        </w:rPr>
        <w:t>8월 1~20일 반도체 수출은 MCP와 Flash가 강하고 DRAM은 숨고 있다. 일률 강세가 아니라 고부가 쪽으로 기울어 있다는 점에서, 마이크론이 말하는 ‘전략 부품화’와 방향이 같다. Meta의 DDR4 재활용과 CXL은 HBM을 대체하는 전략이 아니라 범용 CPU 서버의 비용 절감이다. HBM 수요 논리를 깨지 않는다. Waymo의 차량용 AI 플랫폼은 장기적으로 차량당 DRAM·NAND·가속기 수요를 늘리는 방향이지만, 당장 마이크론 실적으로 연결할 물량은 공개되지 않았다.</w:t>
      </w:r>
    </w:p>
    <w:p>
      <w:pPr>
        <w:spacing w:before="200" w:after="80"/>
      </w:pPr>
      <w:r>
        <w:rPr>
          <w:rFonts w:ascii="맑은 고딕" w:hAnsi="맑은 고딕" w:eastAsia="맑은 고딕"/>
          <w:b/>
          <w:i w:val="0"/>
          <w:color w:val="1E407C"/>
          <w:sz w:val="26"/>
        </w:rPr>
        <w:t>7. 이 장의 시사점과 확인 포인트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 항목</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왜 중요한가</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다음 창</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150%가 가이던스·할당 발언으로 재확인되는가</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질적 발언이 실적 숫자로 떨어지는지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8/26 NVIDIA, 이후 마이크론 가이던스</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공동설계의 범위</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1~2개 고객 이야기인지, 데이터센터 전반인지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고객사 발언 · 장기계약 공시</w:t>
            </w:r>
          </w:p>
        </w:tc>
      </w:tr>
      <w:tr>
        <w:trPr>
          <w:cantSplit/>
        </w:trPr>
        <w:tc>
          <w:tcPr>
            <w:tcW w:type="dxa" w:w="30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증설의 성격</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 추격인지 과잉 CAPA인지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 계획 vs 백로그</w:t>
            </w:r>
          </w:p>
        </w:tc>
      </w:tr>
      <w:tr>
        <w:trPr>
          <w:cantSplit/>
        </w:trPr>
        <w:tc>
          <w:tcPr>
            <w:tcW w:type="dxa" w:w="30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12월 이후 바이백 규모</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3사 환원 경쟁이 실제로 여는지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12/9 이후 이사회·가이던스</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III.  </w:t>
      </w:r>
      <w:r>
        <w:rPr>
          <w:rFonts w:ascii="맑은 고딕" w:hAnsi="맑은 고딕" w:eastAsia="맑은 고딕"/>
          <w:b/>
          <w:i w:val="0"/>
          <w:color w:val="0F2043"/>
          <w:sz w:val="32"/>
        </w:rPr>
        <w:t>미국장 8월 20~21일 — 경기와 금리의 충돌</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8/20은 금리↑ + 유가↑ + 월마트 소비 둔화가 지수를 눌렀고, 메모리는 반대로 강했다.</w:t>
            </w:r>
          </w:p>
          <w:p>
            <w:pPr>
              <w:spacing w:after="20" w:before="0" w:line="276" w:lineRule="auto"/>
            </w:pPr>
            <w:r>
              <w:rPr>
                <w:rFonts w:ascii="맑은 고딕" w:hAnsi="맑은 고딕" w:eastAsia="맑은 고딕"/>
                <w:b w:val="0"/>
                <w:i w:val="0"/>
                <w:color w:val="1A1A1A"/>
                <w:sz w:val="21"/>
              </w:rPr>
              <w:t>8/21은 서비스 PMI 56.8에 다우가 +1% 반등했지만, 주간을 지배한 것은 경기가 아니라 금리다.</w:t>
            </w:r>
          </w:p>
          <w:p>
            <w:pPr>
              <w:spacing w:after="20" w:before="0" w:line="276" w:lineRule="auto"/>
            </w:pPr>
            <w:r>
              <w:rPr>
                <w:rFonts w:ascii="맑은 고딕" w:hAnsi="맑은 고딕" w:eastAsia="맑은 고딕"/>
                <w:b w:val="0"/>
                <w:i w:val="0"/>
                <w:color w:val="1A1A1A"/>
                <w:sz w:val="21"/>
              </w:rPr>
              <w:t>월마트는 미국 소비 붕괴가 아니라 둔화 초기 + 자체 성장동력은 견조로 읽는 것이 맞다.</w:t>
            </w:r>
          </w:p>
          <w:p>
            <w:pPr>
              <w:spacing w:after="20" w:before="0" w:line="276" w:lineRule="auto"/>
            </w:pPr>
            <w:r>
              <w:rPr>
                <w:rFonts w:ascii="맑은 고딕" w:hAnsi="맑은 고딕" w:eastAsia="맑은 고딕"/>
                <w:b w:val="0"/>
                <w:i w:val="0"/>
                <w:color w:val="1A1A1A"/>
                <w:sz w:val="21"/>
              </w:rPr>
              <w:t>한국 시장 평가는 중립. 변수는 주주환원 평가와 월요일 삼성전자 갭이다.</w:t>
            </w:r>
          </w:p>
        </w:tc>
      </w:tr>
    </w:tbl>
    <w:p>
      <w:pPr>
        <w:spacing w:after="120"/>
      </w:pPr>
    </w:p>
    <w:p>
      <w:pPr>
        <w:spacing w:before="200" w:after="80"/>
      </w:pPr>
      <w:r>
        <w:rPr>
          <w:rFonts w:ascii="맑은 고딕" w:hAnsi="맑은 고딕" w:eastAsia="맑은 고딕"/>
          <w:b/>
          <w:i w:val="0"/>
          <w:color w:val="1E407C"/>
          <w:sz w:val="26"/>
        </w:rPr>
        <w:t>1. 8월 20일 — 지수는 약하고 메모리는 강했다</w:t>
      </w:r>
    </w:p>
    <w:p>
      <w:pPr>
        <w:spacing w:after="120" w:before="0" w:line="283" w:lineRule="auto"/>
        <w:jc w:val="left"/>
      </w:pPr>
      <w:r>
        <w:rPr>
          <w:rFonts w:ascii="맑은 고딕" w:hAnsi="맑은 고딕" w:eastAsia="맑은 고딕"/>
          <w:b w:val="0"/>
          <w:i w:val="0"/>
          <w:color w:val="1A1A1A"/>
          <w:sz w:val="22"/>
        </w:rPr>
        <w:t>큰 그림은 「금리 + 유가 + 소비」가 동시에 시장을 때린 날이다. 미 국채 장기금리가 다시 오르며 주식의 할인율이 높아졌고, 유가 상승이 인플레이션 우려를 키워 Fed 금리인하 기대를 약화시키는 경로가 작동했다. 월마트 실적은 미국 소비가 생각보다 약할 수 있다는 신호로 읽히며 Costco·Dollar Tree·Amazon 등 소비주를 동반 하락시켰다.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지수·자산</w:t>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움직임</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의미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S&amp;P500</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−0.85%, 2주 만의 저점</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할인율 상승</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Nasdaq</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−1.00%</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성장주·AI 고밸류 부담</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Dow</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−1.27%</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소비·경기민감 약세</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SOX</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+0.53%</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메모리·네트워킹이 지수와 탈동조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10Y / 30Y</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4.71% / 약 5.26%</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재상승</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WTI / Brent</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WTI $89 전후 5일 연속 상승</w:t>
            </w:r>
          </w:p>
          <w:p>
            <w:pPr>
              <w:spacing w:before="0" w:after="0" w:line="269" w:lineRule="auto"/>
              <w:jc w:val="center"/>
            </w:pPr>
            <w:r>
              <w:rPr>
                <w:rFonts w:ascii="맑은 고딕" w:hAnsi="맑은 고딕" w:eastAsia="맑은 고딕"/>
                <w:b w:val="0"/>
                <w:i w:val="0"/>
                <w:color w:val="1A1A1A"/>
                <w:sz w:val="19"/>
              </w:rPr>
              <w:t>Brent $94대, 주간 +6.39%</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인플레 · 인하 여력 축소</w:t>
            </w:r>
          </w:p>
        </w:tc>
      </w:tr>
    </w:tbl>
    <w:p>
      <w:pPr>
        <w:spacing w:after="160" w:before="40"/>
      </w:pPr>
    </w:p>
    <w:p>
      <w:pPr>
        <w:spacing w:after="120" w:before="0" w:line="283" w:lineRule="auto"/>
        <w:jc w:val="left"/>
      </w:pPr>
      <w:r>
        <w:rPr>
          <w:rFonts w:ascii="맑은 고딕" w:hAnsi="맑은 고딕" w:eastAsia="맑은 고딕"/>
          <w:b w:val="0"/>
          <w:i w:val="0"/>
          <w:color w:val="1A1A1A"/>
          <w:sz w:val="22"/>
        </w:rPr>
        <w:t>같은 날 메모리와 스토리지는 반대였다. 마이크론 +4%, 샌디스크 +2%, 하이닉스 ADR +4.3%, 마벨 +5.8%(전일 +10%), 웨스턴디지털 +1.5%, 씨게이트 +2.9%(전일 낙폭 과대 반등). 지수 약세와 메모리 강세가 동시에 나타난 것은, 시장이 매크로 할인율과 섹터 수급을 분리해 가격에 넣고 있다는 뜻이다.</w:t>
      </w:r>
    </w:p>
    <w:p>
      <w:pPr>
        <w:spacing w:before="200" w:after="80"/>
      </w:pPr>
      <w:r>
        <w:rPr>
          <w:rFonts w:ascii="맑은 고딕" w:hAnsi="맑은 고딕" w:eastAsia="맑은 고딕"/>
          <w:b/>
          <w:i w:val="0"/>
          <w:color w:val="1E407C"/>
          <w:sz w:val="26"/>
        </w:rPr>
        <w:t>2. 8월 21일 — 강한 경기에 다우 +1%, 그러나 금리가 남았다</w:t>
      </w:r>
    </w:p>
    <w:p>
      <w:pPr>
        <w:spacing w:after="120" w:before="0" w:line="283" w:lineRule="auto"/>
        <w:jc w:val="left"/>
      </w:pPr>
      <w:r>
        <w:rPr>
          <w:rFonts w:ascii="맑은 고딕" w:hAnsi="맑은 고딕" w:eastAsia="맑은 고딕"/>
          <w:b w:val="0"/>
          <w:i w:val="0"/>
          <w:color w:val="1A1A1A"/>
          <w:sz w:val="22"/>
        </w:rPr>
        <w:t>8월 서비스 PMI는 56.8로 2024년 12월 이후 최고치, 약 20개월 만에 가장 강한 서비스업 확장이다. 전체 기업활동도 4년여 만에 가장 강한 증가를 기록했다. 침체 우려는 후퇴하고 기업이익 전망은 지지되며, 금리 상승에도 주식시장은 일단 반등했다.</w:t>
      </w:r>
    </w:p>
    <w:p>
      <w:pPr>
        <w:spacing w:after="120" w:before="0" w:line="283" w:lineRule="auto"/>
        <w:jc w:val="left"/>
      </w:pPr>
      <w:r>
        <w:rPr>
          <w:rFonts w:ascii="맑은 고딕" w:hAnsi="맑은 고딕" w:eastAsia="맑은 고딕"/>
          <w:b w:val="0"/>
          <w:i w:val="0"/>
          <w:color w:val="1A1A1A"/>
          <w:sz w:val="22"/>
        </w:rPr>
        <w:t>그러나 주간 시장을 지배한 것은 경기가 아니라 금리다. 8/19 국채 바이백 발표 직후 장기금리가 하락하며 증시가 반등했고, 8/20~21 장기금리가 다시 오르며 바이백 효과는 소멸했다. 정부가 국채를 사준다고 해서 장기금리의 구조적 상승 압력이 사라지는 것은 아니다. 바이백은 수급을 개선하는 단기 처방이고, 재정적자·국채 발행 증가·인플레이션·기간 프리미엄·고유가를 해결하지 못한다.</w:t>
      </w:r>
    </w:p>
    <w:p>
      <w:pPr>
        <w:spacing w:before="200" w:after="80"/>
      </w:pPr>
      <w:r>
        <w:rPr>
          <w:rFonts w:ascii="맑은 고딕" w:hAnsi="맑은 고딕" w:eastAsia="맑은 고딕"/>
          <w:b/>
          <w:i w:val="0"/>
          <w:color w:val="1E407C"/>
          <w:sz w:val="26"/>
        </w:rPr>
        <w:t>3. 왜 30년물이 더 중요한가</w:t>
      </w:r>
    </w:p>
    <w:p>
      <w:pPr>
        <w:spacing w:after="120" w:before="0" w:line="283" w:lineRule="auto"/>
        <w:jc w:val="left"/>
      </w:pPr>
      <w:r>
        <w:rPr>
          <w:rFonts w:ascii="맑은 고딕" w:hAnsi="맑은 고딕" w:eastAsia="맑은 고딕"/>
          <w:b w:val="0"/>
          <w:i w:val="0"/>
          <w:color w:val="1A1A1A"/>
          <w:sz w:val="22"/>
        </w:rPr>
        <w:t>금리 곡선을 두 구간으로 나눠 보는 것이 이 레포트의 기본 프레임이다. 단기금리는 Fed 정책금리의 영역이다. 장기금리는 재정적자, 국채 공급, 인플레이션, Term Premium의 영역이다. 따라서 Fed가 정책금리를 내리더라도 30년물 금리가 반드시 내려가는 것은 아니다.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구간</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현재</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시장의 시선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10년물</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4.7%대</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5%를 정책 레드라인으로 읽는 해석 (Rosenberg)</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30년물</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5.27~5.31%</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 방향이 더 중요해지고 있음</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10년물 6~7%</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아님</w:t>
            </w:r>
          </w:p>
        </w:tc>
        <w:tc>
          <w:tcPr>
            <w:tcW w:type="dxa" w:w="555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할인율 급등 → NASDAQ/AI PER 압박.</w:t>
            </w:r>
          </w:p>
          <w:p>
            <w:pPr>
              <w:spacing w:before="0" w:after="0" w:line="269" w:lineRule="auto"/>
              <w:jc w:val="center"/>
            </w:pPr>
            <w:r>
              <w:rPr>
                <w:rFonts w:ascii="맑은 고딕" w:hAnsi="맑은 고딕" w:eastAsia="맑은 고딕"/>
                <w:b w:val="0"/>
                <w:i w:val="0"/>
                <w:color w:val="1A1A1A"/>
                <w:sz w:val="19"/>
              </w:rPr>
              <w:t>실물도 소비·투자 둔화로 전환 가능</w:t>
            </w:r>
          </w:p>
        </w:tc>
      </w:tr>
    </w:tbl>
    <w:p>
      <w:pPr>
        <w:spacing w:after="160" w:before="40"/>
      </w:pPr>
    </w:p>
    <w:p>
      <w:pPr>
        <w:spacing w:after="120" w:before="0" w:line="283" w:lineRule="auto"/>
        <w:jc w:val="left"/>
      </w:pPr>
      <w:r>
        <w:rPr>
          <w:rFonts w:ascii="맑은 고딕" w:hAnsi="맑은 고딕" w:eastAsia="맑은 고딕"/>
          <w:b w:val="0"/>
          <w:i w:val="0"/>
          <w:color w:val="1A1A1A"/>
          <w:sz w:val="22"/>
        </w:rPr>
        <w:t>현재 시장은 10년물 4~5% 환경에 어느 정도 적응했다는 평가다. 그러나 6~7%까지 올라가면 레짐이 바뀐다. 장기금리 상승은 할인율을 높여 미래 기업이익의 현재가치를 낮추고 PER을 압박한다. 특히 나스닥·AI·성장주처럼 미래 이익 비중이 큰 종목에 부담이 크다. 실물에서는 회사채 조달비용과 주택담보대출이 오르며 소비·투자가 줄어든다. 처음에는 “강한 경기 + 높은 금리”이지만, 금리가 지나치면 “높은 금리 → 경기 둔화 → 이익 감소”로 전환될 수 있다.</w:t>
      </w:r>
    </w:p>
    <w:p>
      <w:pPr>
        <w:spacing w:after="120" w:before="0" w:line="283" w:lineRule="auto"/>
        <w:jc w:val="left"/>
      </w:pPr>
      <w:r>
        <w:rPr>
          <w:rFonts w:ascii="맑은 고딕" w:hAnsi="맑은 고딕" w:eastAsia="맑은 고딕"/>
          <w:b w:val="0"/>
          <w:i w:val="0"/>
          <w:color w:val="1A1A1A"/>
          <w:sz w:val="22"/>
        </w:rPr>
        <w:t>유가도 같은 경로에 붙어 있다. Brent $94대, 주간 +6.39%는 인플레이션 재상승 우려를 키우고 Fed 인하 여력을 줄이며 장기금리와 주식 밸류에이션에 동시에 부담을 준다. 지금은 국채금리와 유가를 한 쌍으로 봐야 한다.</w:t>
      </w:r>
    </w:p>
    <w:p>
      <w:pPr>
        <w:spacing w:before="200" w:after="80"/>
      </w:pPr>
      <w:r>
        <w:rPr>
          <w:rFonts w:ascii="맑은 고딕" w:hAnsi="맑은 고딕" w:eastAsia="맑은 고딕"/>
          <w:b/>
          <w:i w:val="0"/>
          <w:color w:val="1E407C"/>
          <w:sz w:val="26"/>
        </w:rPr>
        <w:t>4. 월마트 분해 — 헤드라인 2.6%를 그대로 쓰면 안 되는 이유</w:t>
      </w:r>
    </w:p>
    <w:p>
      <w:pPr>
        <w:spacing w:after="120" w:before="0" w:line="283" w:lineRule="auto"/>
        <w:jc w:val="left"/>
      </w:pPr>
      <w:r>
        <w:rPr>
          <w:rFonts w:ascii="맑은 고딕" w:hAnsi="맑은 고딕" w:eastAsia="맑은 고딕"/>
          <w:b w:val="0"/>
          <w:i w:val="0"/>
          <w:color w:val="1A1A1A"/>
          <w:sz w:val="22"/>
        </w:rPr>
        <w:t>월마트는 전일 약 −9% 급락했다. 동일점포 매출 +2.6%가 시장 예상 +3.8%를 약 1.2%p 밑돌았고, 6년 만에 가장 느린 성장률이었다. 그런데 회사는 실적 전망을 낮추지 않았고, 연간 매출·이익 전망은 오히려 상향했다. 8월 21일에는 대부분 증권사가 목표주가를 낮춘 뒤에도 추가 하락하지 않고 +0.1%, 103.7달러에 마감했다. Freedom Broker는 124달러 목표주가로 투자의견을 상향했다.</w:t>
      </w:r>
    </w:p>
    <w:p>
      <w:pPr>
        <w:spacing w:after="120" w:before="0" w:line="283" w:lineRule="auto"/>
        <w:jc w:val="left"/>
      </w:pPr>
      <w:r>
        <w:rPr>
          <w:rFonts w:ascii="맑은 고딕" w:hAnsi="맑은 고딕" w:eastAsia="맑은 고딕"/>
          <w:b w:val="0"/>
          <w:i w:val="0"/>
          <w:color w:val="1A1A1A"/>
          <w:sz w:val="22"/>
        </w:rPr>
        <w:t>주가가 하루 만에 급락한 이유는 실적 자체가 나빴기 때문이라기보다, 소비 둔화 신호와 앞으로의 전망이 시장 기대를 밑돌았기 때문이다. 매장 방문객과 객단가 증가세가 약화됐고, 3분기 전망이 낮았으며, 휘발유 가격 상승이 자동차 지출을 늘려 월마트에서 쓸 수 있는 가처분소득을 줄인다는 해석이 붙었다. 회사는 1만 1,000개 품목 가격 인하와 관세 환급금 약 29억 달러 활용을 계획했다. 월마트가 저소득층부터 고소득층까지 커버하는 대표 소비 지표라는 점에서, “소비자가 가격에 더 민감해지고 있다”는 신호는 유가 $90 근접 국면에서 의미가 크다.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숫자</w:t>
            </w:r>
          </w:p>
        </w:tc>
        <w:tc>
          <w:tcPr>
            <w:tcW w:type="dxa" w:w="442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동일점포</w:t>
            </w:r>
          </w:p>
        </w:tc>
        <w:tc>
          <w:tcPr>
            <w:tcW w:type="dxa" w:w="362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+2.6% vs 예상 +3.8%</w:t>
            </w:r>
          </w:p>
          <w:p>
            <w:pPr>
              <w:spacing w:before="0" w:after="0" w:line="269" w:lineRule="auto"/>
              <w:jc w:val="center"/>
            </w:pPr>
            <w:r>
              <w:rPr>
                <w:rFonts w:ascii="맑은 고딕" w:hAnsi="맑은 고딕" w:eastAsia="맑은 고딕"/>
                <w:b w:val="0"/>
                <w:i w:val="0"/>
                <w:color w:val="1A1A1A"/>
                <w:sz w:val="19"/>
              </w:rPr>
              <w:t>6년 만에 가장 느린 성장</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 충격</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Traffic / 객단가</w:t>
            </w:r>
          </w:p>
        </w:tc>
        <w:tc>
          <w:tcPr>
            <w:tcW w:type="dxa" w:w="362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+1.5% / +1.1%</w:t>
            </w:r>
          </w:p>
          <w:p>
            <w:pPr>
              <w:spacing w:before="0" w:after="0" w:line="269" w:lineRule="auto"/>
              <w:jc w:val="center"/>
            </w:pPr>
            <w:r>
              <w:rPr>
                <w:rFonts w:ascii="맑은 고딕" w:hAnsi="맑은 고딕" w:eastAsia="맑은 고딕"/>
                <w:b w:val="0"/>
                <w:i w:val="0"/>
                <w:color w:val="1A1A1A"/>
                <w:sz w:val="19"/>
              </w:rPr>
              <w:t>객단가 전년 +3.1% → +1.1%</w:t>
            </w:r>
          </w:p>
        </w:tc>
        <w:tc>
          <w:tcPr>
            <w:tcW w:type="dxa" w:w="442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안 오는 것이 아니라 덜 쓴다.</w:t>
            </w:r>
          </w:p>
          <w:p>
            <w:pPr>
              <w:spacing w:before="0" w:after="0" w:line="269" w:lineRule="auto"/>
              <w:jc w:val="center"/>
            </w:pPr>
            <w:r>
              <w:rPr>
                <w:rFonts w:ascii="맑은 고딕" w:hAnsi="맑은 고딕" w:eastAsia="맑은 고딕"/>
                <w:b w:val="0"/>
                <w:i w:val="0"/>
                <w:color w:val="1A1A1A"/>
                <w:sz w:val="19"/>
              </w:rPr>
              <w:t>둔화의 핵심은 객단가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성장률 경로</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 → 4.8 → 4.3 → 4.1 → 2.6%</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4%대에서 2%대로의 단절처럼 보임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Medicare 약가</w:t>
            </w:r>
          </w:p>
        </w:tc>
        <w:tc>
          <w:tcPr>
            <w:tcW w:type="dxa" w:w="362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동일점포에 약 −1.25%p 역풍</w:t>
            </w:r>
          </w:p>
          <w:p>
            <w:pPr>
              <w:spacing w:before="0" w:after="0" w:line="269" w:lineRule="auto"/>
              <w:jc w:val="center"/>
            </w:pPr>
            <w:r>
              <w:rPr>
                <w:rFonts w:ascii="맑은 고딕" w:hAnsi="맑은 고딕" w:eastAsia="맑은 고딕"/>
                <w:b w:val="0"/>
                <w:i w:val="0"/>
                <w:color w:val="1A1A1A"/>
                <w:sz w:val="19"/>
              </w:rPr>
              <w:t>Health &amp; Wellness 제외 시 +3.4%</w:t>
            </w:r>
          </w:p>
        </w:tc>
        <w:tc>
          <w:tcPr>
            <w:tcW w:type="dxa" w:w="442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2025년에는 없던 제도 효과가 첫 반영.</w:t>
            </w:r>
          </w:p>
          <w:p>
            <w:pPr>
              <w:spacing w:before="0" w:after="0" w:line="269" w:lineRule="auto"/>
              <w:jc w:val="center"/>
            </w:pPr>
            <w:r>
              <w:rPr>
                <w:rFonts w:ascii="맑은 고딕" w:hAnsi="맑은 고딕" w:eastAsia="맑은 고딕"/>
                <w:b w:val="0"/>
                <w:i w:val="0"/>
                <w:color w:val="1A1A1A"/>
                <w:sz w:val="19"/>
              </w:rPr>
              <w:t>2.6%만 보면 소비 둔화를 과대평가</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전체 / 전자상거래</w:t>
            </w:r>
          </w:p>
        </w:tc>
        <w:tc>
          <w:tcPr>
            <w:tcW w:type="dxa" w:w="362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매출 +5.9%</w:t>
            </w:r>
          </w:p>
          <w:p>
            <w:pPr>
              <w:spacing w:before="0" w:after="20" w:line="269" w:lineRule="auto"/>
              <w:jc w:val="center"/>
            </w:pPr>
            <w:r>
              <w:rPr>
                <w:rFonts w:ascii="맑은 고딕" w:hAnsi="맑은 고딕" w:eastAsia="맑은 고딕"/>
                <w:b w:val="0"/>
                <w:i w:val="0"/>
                <w:color w:val="1A1A1A"/>
                <w:sz w:val="19"/>
              </w:rPr>
              <w:t>e-commerce +24%</w:t>
            </w:r>
          </w:p>
          <w:p>
            <w:pPr>
              <w:spacing w:before="0" w:after="0" w:line="269" w:lineRule="auto"/>
              <w:jc w:val="center"/>
            </w:pPr>
            <w:r>
              <w:rPr>
                <w:rFonts w:ascii="맑은 고딕" w:hAnsi="맑은 고딕" w:eastAsia="맑은 고딕"/>
                <w:b w:val="0"/>
                <w:i w:val="0"/>
                <w:color w:val="1A1A1A"/>
                <w:sz w:val="19"/>
              </w:rPr>
              <w:t>Marketplace +50% 이상</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오프라인 둔화를 디지털이 상쇄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가이던스</w:t>
            </w:r>
          </w:p>
        </w:tc>
        <w:tc>
          <w:tcPr>
            <w:tcW w:type="dxa" w:w="362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연간 매출·이익 상향</w:t>
            </w:r>
          </w:p>
          <w:p>
            <w:pPr>
              <w:spacing w:before="0" w:after="0" w:line="269" w:lineRule="auto"/>
              <w:jc w:val="center"/>
            </w:pPr>
            <w:r>
              <w:rPr>
                <w:rFonts w:ascii="맑은 고딕" w:hAnsi="맑은 고딕" w:eastAsia="맑은 고딕"/>
                <w:b w:val="0"/>
                <w:i w:val="0"/>
                <w:color w:val="1A1A1A"/>
                <w:sz w:val="19"/>
              </w:rPr>
              <w:t>3분기는 시장 기대 하회</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붕괴가 아니라 전망의 온도 차</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 정책</w:t>
            </w:r>
          </w:p>
        </w:tc>
        <w:tc>
          <w:tcPr>
            <w:tcW w:type="dxa" w:w="362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1.1만 품목 인하</w:t>
            </w:r>
          </w:p>
          <w:p>
            <w:pPr>
              <w:spacing w:before="0" w:after="0" w:line="269" w:lineRule="auto"/>
              <w:jc w:val="center"/>
            </w:pPr>
            <w:r>
              <w:rPr>
                <w:rFonts w:ascii="맑은 고딕" w:hAnsi="맑은 고딕" w:eastAsia="맑은 고딕"/>
                <w:b w:val="0"/>
                <w:i w:val="0"/>
                <w:color w:val="1A1A1A"/>
                <w:sz w:val="19"/>
              </w:rPr>
              <w:t>관세 환급 $2.9B</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가격 민감도에 대한 대응</w:t>
            </w:r>
          </w:p>
        </w:tc>
      </w:tr>
    </w:tbl>
    <w:p>
      <w:pPr>
        <w:spacing w:after="160" w:before="40"/>
      </w:pPr>
    </w:p>
    <w:p>
      <w:pPr>
        <w:spacing w:after="120" w:before="0" w:line="283" w:lineRule="auto"/>
        <w:jc w:val="left"/>
      </w:pPr>
      <w:r>
        <w:rPr>
          <w:rFonts w:ascii="맑은 고딕" w:hAnsi="맑은 고딕" w:eastAsia="맑은 고딕"/>
          <w:b w:val="0"/>
          <w:i w:val="0"/>
          <w:color w:val="1A1A1A"/>
          <w:sz w:val="22"/>
        </w:rPr>
        <w:t>전자상거래, 광고 사업 Walmart Connect, 멤버십은 여전히 좋다. 월마트 자체의 장기 펀더멘털이 무너졌다고 볼 단계는 아니다. 최종 해석은 이것이다. 월마트 실적은 미국 소비 붕괴가 아니라 소비 둔화와 월마트 자체 성장동력이 동시에 존재하는 그림이다. 2.6%는 경고등이다. 그러나 3.4%라는 기저 소비 성장과 +5.9% 전체 매출을 감안하면, 침체 신호라기보다 소비 둔화 초기에 가깝다. 앞으로의 핵심 변수는 유가 상승이 실질구매력을 얼마나 더 깎고, 객단가 둔화가 계속되는지다.</w:t>
      </w:r>
    </w:p>
    <w:p>
      <w:pPr>
        <w:spacing w:before="200" w:after="80"/>
      </w:pPr>
      <w:r>
        <w:rPr>
          <w:rFonts w:ascii="맑은 고딕" w:hAnsi="맑은 고딕" w:eastAsia="맑은 고딕"/>
          <w:b/>
          <w:i w:val="0"/>
          <w:color w:val="1E407C"/>
          <w:sz w:val="26"/>
        </w:rPr>
        <w:t>5. 8월 21일 종가와 메모리 밸류에이션</w:t>
      </w:r>
    </w:p>
    <w:p>
      <w:pPr>
        <w:spacing w:after="120" w:before="0" w:line="283" w:lineRule="auto"/>
        <w:jc w:val="left"/>
      </w:pPr>
      <w:r>
        <w:rPr>
          <w:rFonts w:ascii="맑은 고딕" w:hAnsi="맑은 고딕" w:eastAsia="맑은 고딕"/>
          <w:b w:val="0"/>
          <w:i w:val="0"/>
          <w:color w:val="1A1A1A"/>
          <w:sz w:val="22"/>
        </w:rPr>
        <w:t>미국장 전체 평가는 한국 시장에 중립적이다. 다만 주주환원 정책에 대한 평가가 변수다. 삼성전자는 8/21 28.15만 원(+3.87%, 주간 +2.6%)으로 월요일 하락 출발이 예상된다.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가격</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밸류에이션</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메모</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샌디스크</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$1,596.08</w:t>
            </w:r>
          </w:p>
          <w:p>
            <w:pPr>
              <w:spacing w:before="0" w:after="0" w:line="269" w:lineRule="auto"/>
              <w:jc w:val="center"/>
            </w:pPr>
            <w:r>
              <w:rPr>
                <w:rFonts w:ascii="맑은 고딕" w:hAnsi="맑은 고딕" w:eastAsia="맑은 고딕"/>
                <w:b w:val="0"/>
                <w:i w:val="0"/>
                <w:color w:val="1A1A1A"/>
                <w:sz w:val="19"/>
              </w:rPr>
              <w:t>(−0.28%, WoW −2.7%)</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EPS 201 가정 PER 7.9배</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1Q EPS $45, QoQ +10/+5/+5</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$966.78 (−0.77%)</w:t>
            </w:r>
          </w:p>
        </w:tc>
        <w:tc>
          <w:tcPr>
            <w:tcW w:type="dxa" w:w="294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Fwd 12M PER 7.7배</w:t>
            </w:r>
          </w:p>
          <w:p>
            <w:pPr>
              <w:spacing w:before="0" w:after="0" w:line="269" w:lineRule="auto"/>
              <w:jc w:val="center"/>
            </w:pPr>
            <w:r>
              <w:rPr>
                <w:rFonts w:ascii="맑은 고딕" w:hAnsi="맑은 고딕" w:eastAsia="맑은 고딕"/>
                <w:b w:val="0"/>
                <w:i w:val="0"/>
                <w:color w:val="1A1A1A"/>
                <w:sz w:val="19"/>
              </w:rPr>
              <w:t>CY27 EPS 150 → PER 6.44배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 150%와 저PER가 공존</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 ADR</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$163.41 = 227만 원</w:t>
            </w:r>
          </w:p>
          <w:p>
            <w:pPr>
              <w:spacing w:before="0" w:after="0" w:line="269" w:lineRule="auto"/>
              <w:jc w:val="center"/>
            </w:pPr>
            <w:r>
              <w:rPr>
                <w:rFonts w:ascii="맑은 고딕" w:hAnsi="맑은 고딕" w:eastAsia="맑은 고딕"/>
                <w:b w:val="0"/>
                <w:i w:val="0"/>
                <w:color w:val="1A1A1A"/>
                <w:sz w:val="19"/>
              </w:rPr>
              <w:t>(1,387.5원/달러)</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6.6배 / 27년 5.2배</w:t>
            </w:r>
          </w:p>
        </w:tc>
        <w:tc>
          <w:tcPr>
            <w:tcW w:type="dxa" w:w="2608"/>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마이크론 대비 −17%</w:t>
            </w:r>
          </w:p>
          <w:p>
            <w:pPr>
              <w:spacing w:before="0" w:after="0" w:line="269" w:lineRule="auto"/>
              <w:jc w:val="center"/>
            </w:pPr>
            <w:r>
              <w:rPr>
                <w:rFonts w:ascii="맑은 고딕" w:hAnsi="맑은 고딕" w:eastAsia="맑은 고딕"/>
                <w:b w:val="0"/>
                <w:i w:val="0"/>
                <w:color w:val="1A1A1A"/>
                <w:sz w:val="19"/>
              </w:rPr>
              <w:t>과거 밴드 −20~−50%</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SK하이닉스 본주</w:t>
            </w:r>
          </w:p>
        </w:tc>
        <w:tc>
          <w:tcPr>
            <w:tcW w:type="dxa" w:w="2721"/>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173만 원</w:t>
            </w:r>
          </w:p>
          <w:p>
            <w:pPr>
              <w:spacing w:before="0" w:after="0" w:line="269" w:lineRule="auto"/>
              <w:jc w:val="center"/>
            </w:pPr>
            <w:r>
              <w:rPr>
                <w:rFonts w:ascii="맑은 고딕" w:hAnsi="맑은 고딕" w:eastAsia="맑은 고딕"/>
                <w:b w:val="0"/>
                <w:i w:val="0"/>
                <w:color w:val="1A1A1A"/>
                <w:sz w:val="19"/>
              </w:rPr>
              <w:t>(+2.3%, WoW +5.2%)</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5.0배 / 27년 4.0배</w:t>
            </w:r>
          </w:p>
        </w:tc>
        <w:tc>
          <w:tcPr>
            <w:tcW w:type="dxa" w:w="2608"/>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ADR 정상 프리미엄 +20%면</w:t>
            </w:r>
          </w:p>
          <w:p>
            <w:pPr>
              <w:spacing w:before="0" w:after="0" w:line="269" w:lineRule="auto"/>
              <w:jc w:val="center"/>
            </w:pPr>
            <w:r>
              <w:rPr>
                <w:rFonts w:ascii="맑은 고딕" w:hAnsi="맑은 고딕" w:eastAsia="맑은 고딕"/>
                <w:b w:val="0"/>
                <w:i w:val="0"/>
                <w:color w:val="1A1A1A"/>
                <w:sz w:val="19"/>
              </w:rPr>
              <w:t>본주 189만 원</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28.15만 원</w:t>
            </w:r>
          </w:p>
          <w:p>
            <w:pPr>
              <w:spacing w:before="0" w:after="0" w:line="269" w:lineRule="auto"/>
              <w:jc w:val="center"/>
            </w:pPr>
            <w:r>
              <w:rPr>
                <w:rFonts w:ascii="맑은 고딕" w:hAnsi="맑은 고딕" w:eastAsia="맑은 고딕"/>
                <w:b w:val="0"/>
                <w:i w:val="0"/>
                <w:color w:val="1A1A1A"/>
                <w:sz w:val="19"/>
              </w:rPr>
              <w:t>(+3.87%, WoW +2.6%)</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26년 5.9배 / 27년 4.2배</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월요일 갭 하락 출발 예상</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WD / Seagate</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$459 / $850</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FY27 PER 약 26배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메모리와 다른 밴드</w:t>
            </w:r>
          </w:p>
        </w:tc>
      </w:tr>
    </w:tbl>
    <w:p>
      <w:pPr>
        <w:spacing w:after="160" w:before="40"/>
      </w:pPr>
    </w:p>
    <w:p>
      <w:pPr>
        <w:spacing w:after="120" w:before="0" w:line="283" w:lineRule="auto"/>
        <w:jc w:val="left"/>
      </w:pPr>
      <w:r>
        <w:rPr>
          <w:rFonts w:ascii="맑은 고딕" w:hAnsi="맑은 고딕" w:eastAsia="맑은 고딕"/>
          <w:b w:val="0"/>
          <w:i w:val="0"/>
          <w:color w:val="1A1A1A"/>
          <w:sz w:val="22"/>
        </w:rPr>
        <w:t>컨센서스 영업이익/EPS는 하이닉스 2026년 266조/346K, 2027년 392조/437K, 삼성전자 2026년 391조/47.9K, 2027년 549조/67.2K다. 보수 시나리오는 하이닉스 영업이익 250~260조, 삼성 355~370조다. 2026년 실적 대비 2027년 성장이 없다고 단순화하고 과거 사이클 주식의 중간 밴드인 PER 6~7배를 적용하면 하이닉스 208만~242만 원, 삼성전자 28.7만~33.5만 원이 산출된다. ADR에 본주 대비 31% 프리미엄이 붙어 있는 상태에서, TSMC 수준의 +15~20%를 정상에 가깝다고 보면 하이닉스 본주는 현 시점에 189만 원이어야 한다는 역산도 가능하다.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IV.  </w:t>
      </w:r>
      <w:r>
        <w:rPr>
          <w:rFonts w:ascii="맑은 고딕" w:hAnsi="맑은 고딕" w:eastAsia="맑은 고딕"/>
          <w:b/>
          <w:i w:val="0"/>
          <w:color w:val="0F2043"/>
          <w:sz w:val="32"/>
        </w:rPr>
        <w:t>Dudley 버블론과 반론</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Dudley의 논리를 한 줄로 쓰면 「2027년 AI CAPEX 증가율 둔화 → 공급업체 이익 둔화 → 주가 버블 붕괴」다.</w:t>
            </w:r>
          </w:p>
          <w:p>
            <w:pPr>
              <w:spacing w:after="20" w:before="0" w:line="276" w:lineRule="auto"/>
            </w:pPr>
            <w:r>
              <w:rPr>
                <w:rFonts w:ascii="맑은 고딕" w:hAnsi="맑은 고딕" w:eastAsia="맑은 고딕"/>
                <w:b w:val="0"/>
                <w:i w:val="0"/>
                <w:color w:val="1A1A1A"/>
                <w:sz w:val="21"/>
              </w:rPr>
              <w:t>반론의 한 줄은 「AI CAPEX 증가율 둔화 조짐을 찾기 어렵다」다. 업황 반론이 더 수긍이 간다.</w:t>
            </w:r>
          </w:p>
          <w:p>
            <w:pPr>
              <w:spacing w:after="20" w:before="0" w:line="276" w:lineRule="auto"/>
            </w:pPr>
            <w:r>
              <w:rPr>
                <w:rFonts w:ascii="맑은 고딕" w:hAnsi="맑은 고딕" w:eastAsia="맑은 고딕"/>
                <w:b w:val="0"/>
                <w:i w:val="0"/>
                <w:color w:val="1A1A1A"/>
                <w:sz w:val="21"/>
              </w:rPr>
              <w:t>우려의 핵심은 업황이 아니라 자금이다. 그래도 생태계 금융 설계가 먼저 개선되고 있다.</w:t>
            </w:r>
          </w:p>
        </w:tc>
      </w:tr>
    </w:tbl>
    <w:p>
      <w:pPr>
        <w:spacing w:after="120"/>
      </w:pPr>
    </w:p>
    <w:p>
      <w:pPr>
        <w:spacing w:before="200" w:after="80"/>
      </w:pPr>
      <w:r>
        <w:rPr>
          <w:rFonts w:ascii="맑은 고딕" w:hAnsi="맑은 고딕" w:eastAsia="맑은 고딕"/>
          <w:b/>
          <w:i w:val="0"/>
          <w:color w:val="1E407C"/>
          <w:sz w:val="26"/>
        </w:rPr>
        <w:t>1. 글의 위치와 저자</w:t>
      </w:r>
    </w:p>
    <w:p>
      <w:pPr>
        <w:spacing w:after="120" w:before="0" w:line="283" w:lineRule="auto"/>
        <w:jc w:val="left"/>
      </w:pPr>
      <w:r>
        <w:rPr>
          <w:rFonts w:ascii="맑은 고딕" w:hAnsi="맑은 고딕" w:eastAsia="맑은 고딕"/>
          <w:b w:val="0"/>
          <w:i w:val="0"/>
          <w:color w:val="1A1A1A"/>
          <w:sz w:val="22"/>
        </w:rPr>
        <w:t>Bill Dudley의 칼럼 “주식시장 버블을 터뜨리는 데는 많은 것이 필요하지 않다”는 2026년 8월 20일 오후 6시(GMT+9)에 공개됐다. Dudley는 전 뉴욕연방준비은행 총재로, 버블 진단에 매크로와 금융 안정 시각을 겹쳐 쓰는 인물이다. 이 레포트는 그의 주장을 먼저 충실히 재구성한 뒤, 당일 퀵코멘트의 반론을 같은 해상도로 붙인다. 어느 쪽이 더 수긍이 가는지는 독자가 판단할 문제이나, 이 레포트의 잠정 결론은 업황 반론 쪽에 더 무게가 있다.</w:t>
      </w:r>
    </w:p>
    <w:p>
      <w:pPr>
        <w:spacing w:before="200" w:after="80"/>
      </w:pPr>
      <w:r>
        <w:rPr>
          <w:rFonts w:ascii="맑은 고딕" w:hAnsi="맑은 고딕" w:eastAsia="맑은 고딕"/>
          <w:b/>
          <w:i w:val="0"/>
          <w:color w:val="1E407C"/>
          <w:sz w:val="26"/>
        </w:rPr>
        <w:t>2. Dudley가 가리킨 세 지표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지표</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현재</w:t>
            </w:r>
          </w:p>
        </w:tc>
        <w:tc>
          <w:tcPr>
            <w:tcW w:type="dxa" w:w="43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비교 기준</w:t>
            </w:r>
          </w:p>
        </w:tc>
      </w:tr>
      <w:tr>
        <w:trPr>
          <w:cantSplit/>
        </w:trPr>
        <w:tc>
          <w:tcPr>
            <w:tcW w:type="dxa" w:w="317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Shiller CAPE</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41배</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 평균 약 17배, 1999년 12월 고점 44배</w:t>
            </w:r>
          </w:p>
        </w:tc>
      </w:tr>
      <w:tr>
        <w:trPr>
          <w:cantSplit/>
        </w:trPr>
        <w:tc>
          <w:tcPr>
            <w:tcW w:type="dxa" w:w="317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실질 주식 위험 프리미엄</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1.1%</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2010년 이후 평균의 절반에도 못 미침</w:t>
            </w:r>
          </w:p>
        </w:tc>
      </w:tr>
      <w:tr>
        <w:trPr>
          <w:cantSplit/>
        </w:trPr>
        <w:tc>
          <w:tcPr>
            <w:tcW w:type="dxa" w:w="317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버핏 지표 (시총/GDP)</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240%</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버핏은 100%를 넘으면 고평가라고 본 바 있음</w:t>
            </w:r>
          </w:p>
        </w:tc>
      </w:tr>
    </w:tbl>
    <w:p>
      <w:pPr>
        <w:spacing w:after="160" w:before="40"/>
      </w:pPr>
    </w:p>
    <w:p>
      <w:pPr>
        <w:spacing w:after="120" w:before="0" w:line="283" w:lineRule="auto"/>
        <w:jc w:val="left"/>
      </w:pPr>
      <w:r>
        <w:rPr>
          <w:rFonts w:ascii="맑은 고딕" w:hAnsi="맑은 고딕" w:eastAsia="맑은 고딕"/>
          <w:b w:val="0"/>
          <w:i w:val="0"/>
          <w:color w:val="1A1A1A"/>
          <w:sz w:val="22"/>
        </w:rPr>
        <w:t>Dudley 본인도 버블이라고 해서 곧바로 터진다는 뜻은 아니라고 썼다. 버블은 예상보다 훨씬 커지고 더 오래 지속되는 경우가 많다. 버블의 확대 자체가 처음 버블을 만들어낸 투자와 이익 성장을 계속 뒷받침하기 때문이다. 지지하는 쪽의 믿음은 강화되고, 회의적인 쪽은 확신과 영향력을 잃는다. 그럼에도 그는 이 버블이 2027년 말 이전에 터질 가능성이 높다고 보는 다섯 가지 이유를 제시한다.</w:t>
      </w:r>
    </w:p>
    <w:p>
      <w:pPr>
        <w:spacing w:before="200" w:after="80"/>
      </w:pPr>
      <w:r>
        <w:rPr>
          <w:rFonts w:ascii="맑은 고딕" w:hAnsi="맑은 고딕" w:eastAsia="맑은 고딕"/>
          <w:b/>
          <w:i w:val="0"/>
          <w:color w:val="1E407C"/>
          <w:sz w:val="26"/>
        </w:rPr>
        <w:t>3. 다섯 가지 근거의 상세</w:t>
      </w:r>
    </w:p>
    <w:p>
      <w:pPr>
        <w:spacing w:before="160" w:after="60"/>
      </w:pPr>
      <w:r>
        <w:rPr>
          <w:rFonts w:ascii="맑은 고딕" w:hAnsi="맑은 고딕" w:eastAsia="맑은 고딕"/>
          <w:b/>
          <w:i w:val="0"/>
          <w:color w:val="0F2043"/>
          <w:sz w:val="23"/>
        </w:rPr>
        <w:t>첫째, AI 투자 붐의 긍정적 효과가 약해진다</w:t>
      </w:r>
    </w:p>
    <w:p>
      <w:pPr>
        <w:spacing w:after="120" w:before="0" w:line="283" w:lineRule="auto"/>
        <w:jc w:val="left"/>
      </w:pPr>
      <w:r>
        <w:rPr>
          <w:rFonts w:ascii="맑은 고딕" w:hAnsi="맑은 고딕" w:eastAsia="맑은 고딕"/>
          <w:b w:val="0"/>
          <w:i w:val="0"/>
          <w:color w:val="1A1A1A"/>
          <w:sz w:val="22"/>
        </w:rPr>
        <w:t>경제성장과 관련해 중요한 것은 투자 규모 자체가 아니라 투자 규모가 얼마나 증가하고 있느냐다. 2026년의 투자 증가폭이 정점이 될 가능성이 매우 높고, 2027년에 2026년과 같은 폭으로 다시 늘릴 만큼의 자원이 없다는 것이 논지다. 예시로 든 것은 건설 노동자, 전력 생산능력, 반도체 생산능력이다. 주요 하이퍼스케일러가 2026년보다 더 큰 폭으로 2027년 투자를 늘릴 만큼의 잉여현금흐름과 대차대조표 여력을 갖고 있을 가능성도 낮다고 본다.</w:t>
      </w:r>
    </w:p>
    <w:p>
      <w:pPr>
        <w:spacing w:before="160" w:after="60"/>
      </w:pPr>
      <w:r>
        <w:rPr>
          <w:rFonts w:ascii="맑은 고딕" w:hAnsi="맑은 고딕" w:eastAsia="맑은 고딕"/>
          <w:b/>
          <w:i w:val="0"/>
          <w:color w:val="0F2043"/>
          <w:sz w:val="23"/>
        </w:rPr>
        <w:t>둘째, 증가율 둔화는 AI 공급업체 이익을 친다</w:t>
      </w:r>
    </w:p>
    <w:p>
      <w:pPr>
        <w:spacing w:after="120" w:before="0" w:line="283" w:lineRule="auto"/>
        <w:jc w:val="left"/>
      </w:pPr>
      <w:r>
        <w:rPr>
          <w:rFonts w:ascii="맑은 고딕" w:hAnsi="맑은 고딕" w:eastAsia="맑은 고딕"/>
          <w:b w:val="0"/>
          <w:i w:val="0"/>
          <w:color w:val="1A1A1A"/>
          <w:sz w:val="22"/>
        </w:rPr>
        <w:t>투자지출 증가세가 둔화되면 하이퍼스케일러 공급업체들의 이익 증가세도 약해진다. 이익 전망이 낮아지고 PER도 하락한다. 이른바 ‘곡괭이와 삽’을 제공하는 기업은 수요 증가세 둔화와 이익률 압박을 동시에 맞을 수 있다. 상승 국면에서는 수요 증가가 더 높은 이익률을 만들고 이것이 밸류에이션을 지탱한다. 하락 국면에서는 예상보다 수요가 부족해지며 이익률까지 급격히 떨어진다.</w:t>
      </w:r>
    </w:p>
    <w:p>
      <w:pPr>
        <w:spacing w:before="160" w:after="60"/>
      </w:pPr>
      <w:r>
        <w:rPr>
          <w:rFonts w:ascii="맑은 고딕" w:hAnsi="맑은 고딕" w:eastAsia="맑은 고딕"/>
          <w:b/>
          <w:i w:val="0"/>
          <w:color w:val="0F2043"/>
          <w:sz w:val="23"/>
        </w:rPr>
        <w:t>셋째, 시장의 관심이 투자 수익률로 이동한다</w:t>
      </w:r>
    </w:p>
    <w:p>
      <w:pPr>
        <w:spacing w:after="120" w:before="0" w:line="283" w:lineRule="auto"/>
        <w:jc w:val="left"/>
      </w:pPr>
      <w:r>
        <w:rPr>
          <w:rFonts w:ascii="맑은 고딕" w:hAnsi="맑은 고딕" w:eastAsia="맑은 고딕"/>
          <w:b w:val="0"/>
          <w:i w:val="0"/>
          <w:color w:val="1A1A1A"/>
          <w:sz w:val="22"/>
        </w:rPr>
        <w:t>Dudley는 하이퍼스케일러가 충분한 매출을 만들기 어려울 것으로 본다. AI 관련 자본 기반이 약 5조 달러까지 확대되면, 이를 정당화하려면 연간 2조 달러 이상의 매출이 필요할 가능성이 있다. 데이터센터와 AI 인프라에 자금을 대는 대출의 위험성도 커진다. AI 붐에 대한 금융 지원은 점점 더 상호 연결되고 불투명해지고 있다. 예를 들어 NVIDIA 같은 반도체 공급업체가 하이퍼스케일러의 반도체 구매를 금융으로 지원하는 구조다. 붐이 끝날 경우 부정적인 피드백 루프가 발생할 위험을 높인다.</w:t>
      </w:r>
    </w:p>
    <w:p>
      <w:pPr>
        <w:spacing w:before="160" w:after="60"/>
      </w:pPr>
      <w:r>
        <w:rPr>
          <w:rFonts w:ascii="맑은 고딕" w:hAnsi="맑은 고딕" w:eastAsia="맑은 고딕"/>
          <w:b/>
          <w:i w:val="0"/>
          <w:color w:val="0F2043"/>
          <w:sz w:val="23"/>
        </w:rPr>
        <w:t>넷째, 미국 주식의 공급이 증가한다</w:t>
      </w:r>
    </w:p>
    <w:p>
      <w:pPr>
        <w:spacing w:after="120" w:before="0" w:line="283" w:lineRule="auto"/>
        <w:jc w:val="left"/>
      </w:pPr>
      <w:r>
        <w:rPr>
          <w:rFonts w:ascii="맑은 고딕" w:hAnsi="맑은 고딕" w:eastAsia="맑은 고딕"/>
          <w:b w:val="0"/>
          <w:i w:val="0"/>
          <w:color w:val="1A1A1A"/>
          <w:sz w:val="22"/>
        </w:rPr>
        <w:t>IPO가 크게 늘고 있고, 기업 내부자들이 락업 종료 후 주식을 매도할 가능성도 있다. 주식 공급 증가는 밸류에이션을 압박한다.</w:t>
      </w:r>
    </w:p>
    <w:p>
      <w:pPr>
        <w:spacing w:before="160" w:after="60"/>
      </w:pPr>
      <w:r>
        <w:rPr>
          <w:rFonts w:ascii="맑은 고딕" w:hAnsi="맑은 고딕" w:eastAsia="맑은 고딕"/>
          <w:b/>
          <w:i w:val="0"/>
          <w:color w:val="0F2043"/>
          <w:sz w:val="23"/>
        </w:rPr>
        <w:t>다섯째, 거시경제 환경이 더 어려워질 수 있다</w:t>
      </w:r>
    </w:p>
    <w:p>
      <w:pPr>
        <w:spacing w:after="120" w:before="0" w:line="283" w:lineRule="auto"/>
        <w:jc w:val="left"/>
      </w:pPr>
      <w:r>
        <w:rPr>
          <w:rFonts w:ascii="맑은 고딕" w:hAnsi="맑은 고딕" w:eastAsia="맑은 고딕"/>
          <w:b w:val="0"/>
          <w:i w:val="0"/>
          <w:color w:val="1A1A1A"/>
          <w:sz w:val="22"/>
        </w:rPr>
        <w:t>올해 실질 및 명목 장기금리가 크게 올랐다. 30년물 미국 국채금리는 2007년 이후 가장 높은 수준까지 상승했다. 금리 상승은 주식 밸류에이션에 부담을 주고, 지속 불가능한 연방정부 부채를 해결하기 위한 정치적 의지와 진전이 부족하기 때문에 장기금리가 추가로 오를 위험이 더 크다고 본다.</w:t>
      </w:r>
    </w:p>
    <w:p>
      <w:pPr>
        <w:spacing w:after="120" w:before="0" w:line="283" w:lineRule="auto"/>
        <w:jc w:val="left"/>
      </w:pPr>
      <w:r>
        <w:rPr>
          <w:rFonts w:ascii="맑은 고딕" w:hAnsi="맑은 고딕" w:eastAsia="맑은 고딕"/>
          <w:b w:val="0"/>
          <w:i w:val="0"/>
          <w:color w:val="1A1A1A"/>
          <w:sz w:val="22"/>
        </w:rPr>
        <w:t>비유는 글로벌 금융위기의 서브프라임이다. 상승기에는 금융 혁신이 수요를 키우고 주택가격을 올리며, 문제가 있는 차입자도 재융자를 받기 쉬워 위험이 작아 보였다. 주택 공급이 늘고 가격이 멈추는 순간 재융자가 끊기고 연체와 채무불이행이 급증했다. 금융이 붕괴하자 수요와 가격이 다시 하락하는 역순환이 시작됐다. Dudley는 AI도 철도와 인터넷 붐처럼 장기적으로는 생산성과 성장에 기여하지만, 불가피하게 과잉 설비가 발생해 이익과 주가에 부담을 줄 것이라고 본다. Jeremy Grantham은 나스닥 버블을 너무 일찍 경고해 운용자산이 약 3분의 1 줄었지만 결국 명성을 지켰고, Chuck Prince의 “음악이 나오는 동안 춤을 춰야 한다”는 그 평가를 받지 못했다.</w:t>
      </w:r>
    </w:p>
    <w:p>
      <w:pPr>
        <w:spacing w:before="200" w:after="80"/>
      </w:pPr>
      <w:r>
        <w:rPr>
          <w:rFonts w:ascii="맑은 고딕" w:hAnsi="맑은 고딕" w:eastAsia="맑은 고딕"/>
          <w:b/>
          <w:i w:val="0"/>
          <w:color w:val="1E407C"/>
          <w:sz w:val="26"/>
        </w:rPr>
        <w:t>4. 반론 네 가지 — 각각을 현재 시점에서 평가</w:t>
      </w:r>
    </w:p>
    <w:p>
      <w:pPr>
        <w:spacing w:after="120" w:before="0" w:line="283" w:lineRule="auto"/>
        <w:jc w:val="left"/>
      </w:pPr>
      <w:r>
        <w:rPr>
          <w:rFonts w:ascii="맑은 고딕" w:hAnsi="맑은 고딕" w:eastAsia="맑은 고딕"/>
          <w:b w:val="0"/>
          <w:i w:val="0"/>
          <w:color w:val="1A1A1A"/>
          <w:sz w:val="22"/>
        </w:rPr>
        <w:t>당일 저녁 퀵코멘트의 출발점은 명확하다. Dudley의 논리는 2027년 AI CAPEX 증가율 둔화를 전제로 한다. 그러나 그 전제에 대해 “증가율 둔화 조짐을 찾기 어렵다”는 반론이 가능하다.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68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t>
            </w:r>
          </w:p>
        </w:tc>
        <w:tc>
          <w:tcPr>
            <w:tcW w:type="dxa" w:w="408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반론</w:t>
            </w:r>
          </w:p>
        </w:tc>
        <w:tc>
          <w:tcPr>
            <w:tcW w:type="dxa" w:w="521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현재 평가</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①</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증가율이 둔화돼도 절대 CAPEX는</w:t>
            </w:r>
          </w:p>
          <w:p>
            <w:pPr>
              <w:spacing w:before="0" w:after="0" w:line="269" w:lineRule="auto"/>
              <w:jc w:val="center"/>
            </w:pPr>
            <w:r>
              <w:rPr>
                <w:rFonts w:ascii="맑은 고딕" w:hAnsi="맑은 고딕" w:eastAsia="맑은 고딕"/>
                <w:b w:val="0"/>
                <w:i w:val="0"/>
                <w:color w:val="1A1A1A"/>
                <w:sz w:val="19"/>
              </w:rPr>
              <w:t>매우 높은 수준일 수 있다</w:t>
            </w:r>
          </w:p>
        </w:tc>
        <w:tc>
          <w:tcPr>
            <w:tcW w:type="dxa" w:w="521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아직 발생하지 않았다.</w:t>
            </w:r>
          </w:p>
          <w:p>
            <w:pPr>
              <w:spacing w:before="0" w:after="0" w:line="269" w:lineRule="auto"/>
              <w:jc w:val="center"/>
            </w:pPr>
            <w:r>
              <w:rPr>
                <w:rFonts w:ascii="맑은 고딕" w:hAnsi="맑은 고딕" w:eastAsia="맑은 고딕"/>
                <w:b w:val="0"/>
                <w:i w:val="0"/>
                <w:color w:val="1A1A1A"/>
                <w:sz w:val="19"/>
              </w:rPr>
              <w:t>금리 급등이 아니면 단기 가시화가 어렵다</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②</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HBM·GPU·네트워크 공급제약이 풀리면</w:t>
            </w:r>
          </w:p>
          <w:p>
            <w:pPr>
              <w:spacing w:before="0" w:after="0" w:line="269" w:lineRule="auto"/>
              <w:jc w:val="center"/>
            </w:pPr>
            <w:r>
              <w:rPr>
                <w:rFonts w:ascii="맑은 고딕" w:hAnsi="맑은 고딕" w:eastAsia="맑은 고딕"/>
                <w:b w:val="0"/>
                <w:i w:val="0"/>
                <w:color w:val="1A1A1A"/>
                <w:sz w:val="19"/>
              </w:rPr>
              <w:t>AI 투자 효율이 오히려 높아질 수 있다</w:t>
            </w:r>
          </w:p>
        </w:tc>
        <w:tc>
          <w:tcPr>
            <w:tcW w:type="dxa" w:w="521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제약이 풀리면 산업 활성화(버블 안녕)로 긍정.</w:t>
            </w:r>
          </w:p>
          <w:p>
            <w:pPr>
              <w:spacing w:before="0" w:after="20" w:line="269" w:lineRule="auto"/>
              <w:jc w:val="center"/>
            </w:pPr>
            <w:r>
              <w:rPr>
                <w:rFonts w:ascii="맑은 고딕" w:hAnsi="맑은 고딕" w:eastAsia="맑은 고딕"/>
                <w:b w:val="0"/>
                <w:i w:val="0"/>
                <w:color w:val="1A1A1A"/>
                <w:sz w:val="19"/>
              </w:rPr>
              <w:t>제약이 남으면 나중에 가격이 내려가도 폭은 제한되어</w:t>
            </w:r>
          </w:p>
          <w:p>
            <w:pPr>
              <w:spacing w:before="0" w:after="0" w:line="269" w:lineRule="auto"/>
              <w:jc w:val="center"/>
            </w:pPr>
            <w:r>
              <w:rPr>
                <w:rFonts w:ascii="맑은 고딕" w:hAnsi="맑은 고딕" w:eastAsia="맑은 고딕"/>
                <w:b w:val="0"/>
                <w:i w:val="0"/>
                <w:color w:val="1A1A1A"/>
                <w:sz w:val="19"/>
              </w:rPr>
              <w:t>한 차원 높은 이익 레벨이 연장될 수 있다</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③</w:t>
            </w:r>
          </w:p>
        </w:tc>
        <w:tc>
          <w:tcPr>
            <w:tcW w:type="dxa" w:w="408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하이퍼스케일러 AI 매출이 예상보다 빠르면</w:t>
            </w:r>
          </w:p>
          <w:p>
            <w:pPr>
              <w:spacing w:before="0" w:after="0" w:line="269" w:lineRule="auto"/>
              <w:jc w:val="center"/>
            </w:pPr>
            <w:r>
              <w:rPr>
                <w:rFonts w:ascii="맑은 고딕" w:hAnsi="맑은 고딕" w:eastAsia="맑은 고딕"/>
                <w:b w:val="0"/>
                <w:i w:val="0"/>
                <w:color w:val="1A1A1A"/>
                <w:sz w:val="19"/>
              </w:rPr>
              <w:t>5조 달러 자본 기반도 정당화될 수 있다</w:t>
            </w:r>
          </w:p>
        </w:tc>
        <w:tc>
          <w:tcPr>
            <w:tcW w:type="dxa" w:w="5216"/>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백로그가 CAPEX의 2~3배(알파벳, 네비우스).</w:t>
            </w:r>
          </w:p>
          <w:p>
            <w:pPr>
              <w:spacing w:before="0" w:after="0" w:line="269" w:lineRule="auto"/>
              <w:jc w:val="center"/>
            </w:pPr>
            <w:r>
              <w:rPr>
                <w:rFonts w:ascii="맑은 고딕" w:hAnsi="맑은 고딕" w:eastAsia="맑은 고딕"/>
                <w:b w:val="0"/>
                <w:i w:val="0"/>
                <w:color w:val="1A1A1A"/>
                <w:sz w:val="19"/>
              </w:rPr>
              <w:t>단기 이슈 부각이 예상되지 않는다</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④</w:t>
            </w:r>
          </w:p>
        </w:tc>
        <w:tc>
          <w:tcPr>
            <w:tcW w:type="dxa" w:w="408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AI가 IT 투자를 넘어 노동생산성으로 가면</w:t>
            </w:r>
          </w:p>
          <w:p>
            <w:pPr>
              <w:spacing w:before="0" w:after="0" w:line="269" w:lineRule="auto"/>
              <w:jc w:val="center"/>
            </w:pPr>
            <w:r>
              <w:rPr>
                <w:rFonts w:ascii="맑은 고딕" w:hAnsi="맑은 고딕" w:eastAsia="맑은 고딕"/>
                <w:b w:val="0"/>
                <w:i w:val="0"/>
                <w:color w:val="1A1A1A"/>
                <w:sz w:val="19"/>
              </w:rPr>
              <w:t>기존 산업 이익까지 확대될 수 있다</w:t>
            </w:r>
          </w:p>
        </w:tc>
        <w:tc>
          <w:tcPr>
            <w:tcW w:type="dxa" w:w="5216"/>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시간은 더 필요할 수 있다.</w:t>
            </w:r>
          </w:p>
          <w:p>
            <w:pPr>
              <w:spacing w:before="0" w:after="20" w:line="269" w:lineRule="auto"/>
              <w:jc w:val="center"/>
            </w:pPr>
            <w:r>
              <w:rPr>
                <w:rFonts w:ascii="맑은 고딕" w:hAnsi="맑은 고딕" w:eastAsia="맑은 고딕"/>
                <w:b w:val="0"/>
                <w:i w:val="0"/>
                <w:color w:val="1A1A1A"/>
                <w:sz w:val="19"/>
              </w:rPr>
              <w:t>인건비 상쇄와 연간 10배 이상 토큰 증가(에이전트 AI)를 감안하면</w:t>
            </w:r>
          </w:p>
          <w:p>
            <w:pPr>
              <w:spacing w:before="0" w:after="0" w:line="269" w:lineRule="auto"/>
              <w:jc w:val="center"/>
            </w:pPr>
            <w:r>
              <w:rPr>
                <w:rFonts w:ascii="맑은 고딕" w:hAnsi="맑은 고딕" w:eastAsia="맑은 고딕"/>
                <w:b w:val="0"/>
                <w:i w:val="0"/>
                <w:color w:val="1A1A1A"/>
                <w:sz w:val="19"/>
              </w:rPr>
              <w:t>1~2년 안에 더 뚜렷해질 가능성이 있다</w:t>
            </w:r>
          </w:p>
        </w:tc>
      </w:tr>
    </w:tbl>
    <w:p>
      <w:pPr>
        <w:spacing w:after="160" w:before="40"/>
      </w:pPr>
    </w:p>
    <w:p>
      <w:pPr>
        <w:spacing w:after="120" w:before="0" w:line="283" w:lineRule="auto"/>
        <w:jc w:val="left"/>
      </w:pPr>
      <w:r>
        <w:rPr>
          <w:rFonts w:ascii="맑은 고딕" w:hAnsi="맑은 고딕" w:eastAsia="맑은 고딕"/>
          <w:b w:val="0"/>
          <w:i w:val="0"/>
          <w:color w:val="1A1A1A"/>
          <w:sz w:val="22"/>
        </w:rPr>
        <w:t>②번은 특히 양면적이다. 공급제약이 풀리면 AI 산업이 활성화되어 버블 논쟁 자체가 약해진다. 제약이 남으면 그 반도체의 높은 가격이 나중에 하락하더라도 폭은 제한적이고, 한 차원 높은 이익 레벨이 연장될 수 있다. Dudley가 병목(건설 노동자·전력·반도체)을 2027년 증설 불능의 근거로 쓰는 지점을, 반론은 오히려 버블(공급과잉) 성립을 막는 조건으로 읽는다.</w:t>
      </w:r>
    </w:p>
    <w:p>
      <w:pPr>
        <w:spacing w:after="120" w:before="0" w:line="283" w:lineRule="auto"/>
        <w:jc w:val="left"/>
      </w:pPr>
      <w:r>
        <w:rPr>
          <w:rFonts w:ascii="맑은 고딕" w:hAnsi="맑은 고딕" w:eastAsia="맑은 고딕"/>
          <w:b w:val="0"/>
          <w:i w:val="0"/>
          <w:color w:val="1A1A1A"/>
          <w:sz w:val="22"/>
        </w:rPr>
        <w:t>건설 노동자, 전력, 반도체가 계속 부족하면 버블 자체가 만들어지는 전제가 성립하지 않는다. 이것이 실물 층위에서 Dudley와 가장 크게 갈리는 지점이다.</w:t>
      </w:r>
    </w:p>
    <w:p>
      <w:pPr>
        <w:spacing w:before="200" w:after="80"/>
      </w:pPr>
      <w:r>
        <w:rPr>
          <w:rFonts w:ascii="맑은 고딕" w:hAnsi="맑은 고딕" w:eastAsia="맑은 고딕"/>
          <w:b/>
          <w:i w:val="0"/>
          <w:color w:val="1E407C"/>
          <w:sz w:val="26"/>
        </w:rPr>
        <w:t>5. 진짜 약한 고리는 자금</w:t>
      </w:r>
    </w:p>
    <w:p>
      <w:pPr>
        <w:spacing w:after="120" w:before="0" w:line="283" w:lineRule="auto"/>
        <w:jc w:val="left"/>
      </w:pPr>
      <w:r>
        <w:rPr>
          <w:rFonts w:ascii="맑은 고딕" w:hAnsi="맑은 고딕" w:eastAsia="맑은 고딕"/>
          <w:b w:val="0"/>
          <w:i w:val="0"/>
          <w:color w:val="1A1A1A"/>
          <w:sz w:val="22"/>
        </w:rPr>
        <w:t>업황 반론이 더 수긍이 간다. 그럼에도 우려의 핵심은 자금 이슈다. 금리 환경의 약한 고리 — OpenAI, Oracle 등 — 에 실질적으로 큰 영향이 가는지 여부다. 지속해서 신경 쓰이는 포인트다.</w:t>
      </w:r>
    </w:p>
    <w:p>
      <w:pPr>
        <w:spacing w:after="120" w:before="0" w:line="283" w:lineRule="auto"/>
        <w:jc w:val="left"/>
      </w:pPr>
      <w:r>
        <w:rPr>
          <w:rFonts w:ascii="맑은 고딕" w:hAnsi="맑은 고딕" w:eastAsia="맑은 고딕"/>
          <w:b w:val="0"/>
          <w:i w:val="0"/>
          <w:color w:val="1A1A1A"/>
          <w:sz w:val="22"/>
        </w:rPr>
        <w:t>다만 엔비디아와 월가 큰손의 협력, 브로드컴이 금융 설계자 역할을 자임하는 등 대부분 생태계에서 이 이슈는 개선 여지가 먼저다. 금융이 붙으면 투자 속도가 빨라지지만, 수요가 예상보다 느릴 때는 역방향 레버리지도 커진다. 지금은 순방향(수요 → 투자 → 칩 구매 가속)이 우세하고, 역방향은 잠재 리스크로 남겨 두는 것이 균형이다.</w:t>
      </w:r>
    </w:p>
    <w:p>
      <w:pPr>
        <w:spacing w:before="200" w:after="80"/>
      </w:pPr>
      <w:r>
        <w:rPr>
          <w:rFonts w:ascii="맑은 고딕" w:hAnsi="맑은 고딕" w:eastAsia="맑은 고딕"/>
          <w:b/>
          <w:i w:val="0"/>
          <w:color w:val="1E407C"/>
          <w:sz w:val="26"/>
        </w:rPr>
        <w:t>6. 본질 질문 — 아무도 정확히 모른다</w:t>
      </w:r>
    </w:p>
    <w:p>
      <w:pPr>
        <w:spacing w:after="120" w:before="0" w:line="283" w:lineRule="auto"/>
        <w:jc w:val="left"/>
      </w:pPr>
      <w:r>
        <w:rPr>
          <w:rFonts w:ascii="맑은 고딕" w:hAnsi="맑은 고딕" w:eastAsia="맑은 고딕"/>
          <w:b w:val="0"/>
          <w:i w:val="0"/>
          <w:color w:val="1A1A1A"/>
          <w:sz w:val="22"/>
        </w:rPr>
        <w:t>본질적으로 왜 버블(공급과잉)인지를 가르는 것은 이것이다. 수요와 토큰 증가가 충분히 빠르지 않은지, 아니면 데이터센터 용량이 앞서 나가는지.</w:t>
      </w:r>
    </w:p>
    <w:p>
      <w:pPr>
        <w:spacing w:before="80" w:after="160" w:line="288" w:lineRule="auto"/>
        <w:jc w:val="center"/>
      </w:pPr>
      <w:r>
        <w:rPr>
          <w:rFonts w:ascii="맑은 고딕" w:hAnsi="맑은 고딕" w:eastAsia="맑은 고딕"/>
          <w:b/>
          <w:i w:val="0"/>
          <w:color w:val="0F2043"/>
          <w:sz w:val="22"/>
        </w:rPr>
        <w:t>수요 · 토큰 증가 속도</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데이터센터 CAPA</w:t>
      </w:r>
    </w:p>
    <w:p>
      <w:pPr>
        <w:spacing w:after="120" w:before="0" w:line="283" w:lineRule="auto"/>
        <w:jc w:val="left"/>
      </w:pPr>
      <w:r>
        <w:rPr>
          <w:rFonts w:ascii="맑은 고딕" w:hAnsi="맑은 고딕" w:eastAsia="맑은 고딕"/>
          <w:b w:val="0"/>
          <w:i w:val="0"/>
          <w:color w:val="1A1A1A"/>
          <w:sz w:val="22"/>
        </w:rPr>
        <w:t>이것을 정확히 아는 사람, 예측하는 사람은 없다. 그나마 AI 모델 업체가 현실에 가까운 정보를 먼저 파악한다. 구글, 앤트로픽 등이다. 그러나 이들도 현 시점이 아니라 1~2년 뒤 새로운 데이터센터가 가동되는 시점에 토큰이 정확히 얼마나 필요한지, 가격만 맞추면 수요가 얼마나 탄력적일지를 맞히는 데는 리스크가 남는다. 그럼에도 에이전트 AI와 추론형 모델 전망은 계속 확대 중이다.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레포트의 스탠스</w:t>
            </w:r>
          </w:p>
          <w:p>
            <w:pPr>
              <w:spacing w:after="20" w:before="0" w:line="276" w:lineRule="auto"/>
            </w:pPr>
            <w:r>
              <w:rPr>
                <w:rFonts w:ascii="맑은 고딕" w:hAnsi="맑은 고딕" w:eastAsia="맑은 고딕"/>
                <w:b w:val="0"/>
                <w:i w:val="0"/>
                <w:color w:val="1A1A1A"/>
                <w:sz w:val="21"/>
              </w:rPr>
              <w:t>그 방향성을 믿되, 계속 검증해 나가는 것이다.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V.  </w:t>
      </w:r>
      <w:r>
        <w:rPr>
          <w:rFonts w:ascii="맑은 고딕" w:hAnsi="맑은 고딕" w:eastAsia="맑은 고딕"/>
          <w:b/>
          <w:i w:val="0"/>
          <w:color w:val="0F2043"/>
          <w:sz w:val="32"/>
        </w:rPr>
        <w:t>Buffett Indicator와 CAPE</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2025년 초부터 ‘비싸다’는 경고는 있었다. 1년 반이 지나도 안 터졌다. 그것이 이 지표의 약점이다.</w:t>
            </w:r>
          </w:p>
          <w:p>
            <w:pPr>
              <w:spacing w:after="20" w:before="0" w:line="276" w:lineRule="auto"/>
            </w:pPr>
            <w:r>
              <w:rPr>
                <w:rFonts w:ascii="맑은 고딕" w:hAnsi="맑은 고딕" w:eastAsia="맑은 고딕"/>
                <w:b w:val="0"/>
                <w:i w:val="0"/>
                <w:color w:val="1A1A1A"/>
                <w:sz w:val="21"/>
              </w:rPr>
              <w:t>2025년 경고는 버블 붕괴 예고가 아니라 밸류에이션 정상화의 필요성이었다.</w:t>
            </w:r>
          </w:p>
          <w:p>
            <w:pPr>
              <w:spacing w:after="20" w:before="0" w:line="276" w:lineRule="auto"/>
            </w:pPr>
            <w:r>
              <w:rPr>
                <w:rFonts w:ascii="맑은 고딕" w:hAnsi="맑은 고딕" w:eastAsia="맑은 고딕"/>
                <w:b w:val="0"/>
                <w:i w:val="0"/>
                <w:color w:val="1A1A1A"/>
                <w:sz w:val="21"/>
              </w:rPr>
              <w:t>2026년의 질문은 “이 가격을 정당화할 만큼 기업이익이 계속 증가할 수 있는가”다.</w:t>
            </w:r>
          </w:p>
        </w:tc>
      </w:tr>
    </w:tbl>
    <w:p>
      <w:pPr>
        <w:spacing w:after="120"/>
      </w:pPr>
    </w:p>
    <w:p>
      <w:pPr>
        <w:spacing w:before="200" w:after="80"/>
      </w:pPr>
      <w:r>
        <w:rPr>
          <w:rFonts w:ascii="맑은 고딕" w:hAnsi="맑은 고딕" w:eastAsia="맑은 고딕"/>
          <w:b/>
          <w:i w:val="0"/>
          <w:color w:val="1E407C"/>
          <w:sz w:val="26"/>
        </w:rPr>
        <w:t>1. 지표가 올라온 경로</w:t>
      </w:r>
    </w:p>
    <w:p>
      <w:pPr>
        <w:spacing w:after="120" w:before="0" w:line="283" w:lineRule="auto"/>
        <w:jc w:val="left"/>
      </w:pPr>
      <w:r>
        <w:rPr>
          <w:rFonts w:ascii="맑은 고딕" w:hAnsi="맑은 고딕" w:eastAsia="맑은 고딕"/>
          <w:b w:val="0"/>
          <w:i w:val="0"/>
          <w:color w:val="1A1A1A"/>
          <w:sz w:val="22"/>
        </w:rPr>
        <w:t>“버핏 지표가 너무 높다”는 경고는 2025년 초부터 본격적인 시장 담론이 되어 왔다. 버핏 지표는 미국 주식시장 시가총액을 GDP로 나눈 비율이다.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시점</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Buffett Indicator</w:t>
            </w:r>
          </w:p>
        </w:tc>
        <w:tc>
          <w:tcPr>
            <w:tcW w:type="dxa" w:w="442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시장의 인식</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초</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대략 190~200%</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고평가 경고는 있었으나 주류 논쟁은 아님</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중반</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 안팎</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랠리와 함께 과열 논쟁 확대</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9~11월</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210%대</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본격적인 버블·과대평가 논쟁</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2025.10.1</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 돌파 (2021년 이후 처음)</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닷컴 당시 약 150%보다 높다는 보도</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2025.11 Reuters</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200%+</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버블 논쟁의 주요 경고 신호로 제시</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초</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220~230%</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역사적 극단. 과거 이 정도로 늘어난 세 번은 모두 25% 이상 하락</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4~7월</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228~234%+</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“역사상 가장 위험한 수준” 경고의 대중화</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7월</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Wilshire 5000 기준 234%</w:t>
            </w:r>
          </w:p>
        </w:tc>
        <w:tc>
          <w:tcPr>
            <w:tcW w:type="dxa" w:w="442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닷컴 143%, 2021년 197%를 크게 상회</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8월</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235~238% (Dudley는 약 240%)</w:t>
            </w:r>
          </w:p>
        </w:tc>
        <w:tc>
          <w:tcPr>
            <w:tcW w:type="dxa" w:w="442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사상 최고권</w:t>
            </w:r>
          </w:p>
        </w:tc>
      </w:tr>
    </w:tbl>
    <w:p>
      <w:pPr>
        <w:spacing w:after="160" w:before="40"/>
      </w:pPr>
    </w:p>
    <w:p>
      <w:pPr>
        <w:spacing w:after="120" w:before="0" w:line="283" w:lineRule="auto"/>
        <w:jc w:val="left"/>
      </w:pPr>
      <w:r>
        <w:rPr>
          <w:rFonts w:ascii="맑은 고딕" w:hAnsi="맑은 고딕" w:eastAsia="맑은 고딕"/>
          <w:b w:val="0"/>
          <w:i w:val="0"/>
          <w:color w:val="1A1A1A"/>
          <w:sz w:val="22"/>
        </w:rPr>
        <w:t>특히 2025년 10월이 중요한 분기점이다. 10월 1일 “200%를 넘어선 것은 2021년 이후 처음”이라는 보도와 함께, 2000년 닷컴 버블 당시 약 150%보다도 높다는 지적이 나왔다. Reuters도 2025년 11월 AI 버블 논쟁을 다루며 버핏 지표 200% 돌파를 주요 경고 신호로 제시했다.</w:t>
      </w:r>
    </w:p>
    <w:p>
      <w:pPr>
        <w:spacing w:after="120" w:before="0" w:line="283" w:lineRule="auto"/>
        <w:jc w:val="left"/>
      </w:pPr>
      <w:r>
        <w:rPr>
          <w:rFonts w:ascii="맑은 고딕" w:hAnsi="맑은 고딕" w:eastAsia="맑은 고딕"/>
          <w:b w:val="0"/>
          <w:i w:val="0"/>
          <w:color w:val="1A1A1A"/>
          <w:sz w:val="22"/>
        </w:rPr>
        <w:t>그런데 “2025년 초부터 고평가라고 했는데, 1년 반이 지난 지금도 안 터졌잖아?”라는 질문이 성립한다. 맞다. 오히려 이것이 Buffett Indicator의 약점이다. 2025년 중반에 이미 상당히 비쌌는데도 시장은 계속 상승했고, 2026년에는 230% 이상으로 더 높아졌다. 2026년 1월에는 이미 230%가 보도됐고, 과거 이 정도로 늘어난 세 번의 사례가 모두 25% 이상 하락으로 이어졌다는 분석까지 나왔다. 그러나 그것이 “230%가 되면 즉시 폭락한다”는 의미는 아니다.</w:t>
      </w:r>
    </w:p>
    <w:p>
      <w:pPr>
        <w:spacing w:after="120" w:before="0" w:line="283" w:lineRule="auto"/>
        <w:jc w:val="left"/>
      </w:pPr>
      <w:r>
        <w:rPr>
          <w:rFonts w:ascii="맑은 고딕" w:hAnsi="맑은 고딕" w:eastAsia="맑은 고딕"/>
          <w:b w:val="0"/>
          <w:i w:val="0"/>
          <w:color w:val="1A1A1A"/>
          <w:sz w:val="22"/>
        </w:rPr>
        <w:t>인식의 계단은 이렇다. 비싸다 → 상당히 비싸다 → 역사적 극단이다 → 버블 아닌가 → 전례 없는 수준이다. 그런데도 시장이 올라간다면 시장이 틀렸다고 단정할 수 없다. 시장 가격이 올라가며 Buffett Indicator도 계속 상승하기 때문이다.</w:t>
      </w:r>
    </w:p>
    <w:p>
      <w:pPr>
        <w:spacing w:before="200" w:after="80"/>
      </w:pPr>
      <w:r>
        <w:rPr>
          <w:rFonts w:ascii="맑은 고딕" w:hAnsi="맑은 고딕" w:eastAsia="맑은 고딕"/>
          <w:b/>
          <w:i w:val="0"/>
          <w:color w:val="1E407C"/>
          <w:sz w:val="26"/>
        </w:rPr>
        <w:t>2. CAPE 40배+라고 해서 곧바로 붕괴한 것은 아니다</w:t>
      </w:r>
    </w:p>
    <w:p>
      <w:pPr>
        <w:spacing w:after="120" w:before="0" w:line="283" w:lineRule="auto"/>
        <w:jc w:val="left"/>
      </w:pPr>
      <w:r>
        <w:rPr>
          <w:rFonts w:ascii="맑은 고딕" w:hAnsi="맑은 고딕" w:eastAsia="맑은 고딕"/>
          <w:b w:val="0"/>
          <w:i w:val="0"/>
          <w:color w:val="1A1A1A"/>
          <w:sz w:val="22"/>
        </w:rPr>
        <w:t>고평가 상태가 수년간 지속된 사례가 있다. 대표적인 사례가 2020~2021년이다. CAPE는 Cyclically Adjusted Price-to-Earnings ratio, 한국어로는 보통 경기조정 주가수익비율이다. Robert Shiller가 대중화해 Shiller CAPE 또는 Shiller P/E라고도 부른다.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일반 PER</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CAPE</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식</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주가 ÷ 최근 1년 이익</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현재 주가 ÷ 과거 10년 평균 실질이익</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목적</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 이익 대비 가격</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호황·불황의 이익 왜곡을 줄인 장기 밸류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지금 41배의 뜻</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1년 이익의 41배가 아님</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 물가조정 평균 이익의 약 41배</w:t>
            </w:r>
          </w:p>
        </w:tc>
      </w:tr>
    </w:tbl>
    <w:p>
      <w:pPr>
        <w:spacing w:after="160" w:before="40"/>
      </w:pPr>
    </w:p>
    <w:p>
      <w:pPr>
        <w:spacing w:after="120" w:before="0" w:line="283" w:lineRule="auto"/>
        <w:jc w:val="left"/>
      </w:pPr>
      <w:r>
        <w:rPr>
          <w:rFonts w:ascii="맑은 고딕" w:hAnsi="맑은 고딕" w:eastAsia="맑은 고딕"/>
          <w:b w:val="0"/>
          <w:i w:val="0"/>
          <w:color w:val="1A1A1A"/>
          <w:sz w:val="22"/>
        </w:rPr>
        <w:t>일반 PER은 경기 호황 때 이익이 급증하거나 불황 때 이익이 급감하면 분모가 크게 흔들린다. CAPE는 그 효과를 줄여 주식시장의 장기적인 밸류에이션 수준을 보려는 지표다. Dudley가 말한 41배는 이 정의다. 장기 평균 약 17배, 1999년 12월 고점 44배에 가깝다.</w:t>
      </w:r>
    </w:p>
    <w:p>
      <w:pPr>
        <w:spacing w:before="200" w:after="80"/>
      </w:pPr>
      <w:r>
        <w:rPr>
          <w:rFonts w:ascii="맑은 고딕" w:hAnsi="맑은 고딕" w:eastAsia="맑은 고딕"/>
          <w:b/>
          <w:i w:val="0"/>
          <w:color w:val="1E407C"/>
          <w:sz w:val="26"/>
        </w:rPr>
        <w:t>3. 질문이 바뀐 지점</w:t>
      </w:r>
    </w:p>
    <w:p>
      <w:pPr>
        <w:spacing w:after="120" w:before="0" w:line="283" w:lineRule="auto"/>
        <w:jc w:val="left"/>
      </w:pPr>
      <w:r>
        <w:rPr>
          <w:rFonts w:ascii="맑은 고딕" w:hAnsi="맑은 고딕" w:eastAsia="맑은 고딕"/>
          <w:b w:val="0"/>
          <w:i w:val="0"/>
          <w:color w:val="1A1A1A"/>
          <w:sz w:val="22"/>
        </w:rPr>
        <w:t>2025년의 Buffett Indicator 경고는 ‘버블 붕괴 예고’가 아니라 ‘밸류에이션 정상화의 필요성’을 말하는 경고였다. 2026년에는 한 단계 더 나아가, “비싸다”에서 “이 가격을 정당화할 만큼 기업이익이 계속 증가할 수 있는가?”로 질문이 바뀌었다. 이것이 지금 AI 버블 논쟁의 핵심이다.</w:t>
      </w:r>
    </w:p>
    <w:p>
      <w:pPr>
        <w:spacing w:after="120" w:before="0" w:line="283" w:lineRule="auto"/>
      </w:pPr>
      <w:r>
        <w:rPr>
          <w:rFonts w:ascii="맑은 고딕" w:hAnsi="맑은 고딕" w:eastAsia="맑은 고딕"/>
          <w:b/>
          <w:i w:val="0"/>
          <w:color w:val="1A1A1A"/>
          <w:sz w:val="22"/>
        </w:rPr>
        <w:t xml:space="preserve">2025년:  </w:t>
      </w:r>
      <w:r>
        <w:rPr>
          <w:rFonts w:ascii="맑은 고딕" w:hAnsi="맑은 고딕" w:eastAsia="맑은 고딕"/>
          <w:b w:val="0"/>
          <w:i w:val="0"/>
          <w:color w:val="1A1A1A"/>
          <w:sz w:val="22"/>
        </w:rPr>
        <w:t>고평가  →  그런데 주가 상승</w:t>
      </w:r>
    </w:p>
    <w:p>
      <w:pPr>
        <w:spacing w:after="120" w:before="0" w:line="283" w:lineRule="auto"/>
      </w:pPr>
      <w:r>
        <w:rPr>
          <w:rFonts w:ascii="맑은 고딕" w:hAnsi="맑은 고딕" w:eastAsia="맑은 고딕"/>
          <w:b/>
          <w:i w:val="0"/>
          <w:color w:val="991B1B"/>
          <w:sz w:val="22"/>
        </w:rPr>
        <w:t xml:space="preserve">2026년:  </w:t>
      </w:r>
      <w:r>
        <w:rPr>
          <w:rFonts w:ascii="맑은 고딕" w:hAnsi="맑은 고딕" w:eastAsia="맑은 고딕"/>
          <w:b w:val="0"/>
          <w:i w:val="0"/>
          <w:color w:val="1A1A1A"/>
          <w:sz w:val="22"/>
        </w:rPr>
        <w:t>더 높은 고평가  →  주가 추가 상승</w:t>
      </w:r>
    </w:p>
    <w:p>
      <w:pPr>
        <w:spacing w:after="120" w:before="0" w:line="283" w:lineRule="auto"/>
        <w:jc w:val="left"/>
      </w:pPr>
      <w:r>
        <w:rPr>
          <w:rFonts w:ascii="맑은 고딕" w:hAnsi="맑은 고딕" w:eastAsia="맑은 고딕"/>
          <w:b w:val="0"/>
          <w:i w:val="0"/>
          <w:color w:val="1A1A1A"/>
          <w:sz w:val="22"/>
        </w:rPr>
        <w:t>특히 중요한 것은 지표 자체보다, 2025년부터 2026년까지 시장이 계속 올라왔는데도 이 지표가 계속 악화됐다는 사실이다. 따라서 지금부터는 “언제 터지느냐”보다 “무엇이 이 상승을 멈추게 할 것이냐”를 봐야 한다. 그리고 그 후보가 바로 다음 경로다.</w:t>
      </w:r>
    </w:p>
    <w:p>
      <w:pPr>
        <w:spacing w:before="80" w:after="160" w:line="288" w:lineRule="auto"/>
        <w:jc w:val="center"/>
      </w:pPr>
      <w:r>
        <w:rPr>
          <w:rFonts w:ascii="맑은 고딕" w:hAnsi="맑은 고딕" w:eastAsia="맑은 고딕"/>
          <w:b/>
          <w:i w:val="0"/>
          <w:color w:val="0F2043"/>
          <w:sz w:val="22"/>
        </w:rPr>
        <w:t>AI CAPEX 증가율 둔화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AI 매출/ROIC 실망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장기금리 상승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PER 축소</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지표 비판과 타협점</w:t>
            </w:r>
          </w:p>
          <w:p>
            <w:pPr>
              <w:spacing w:after="20" w:before="0" w:line="276" w:lineRule="auto"/>
            </w:pPr>
            <w:r>
              <w:rPr>
                <w:rFonts w:ascii="맑은 고딕" w:hAnsi="맑은 고딕" w:eastAsia="맑은 고딕"/>
                <w:b w:val="0"/>
                <w:i w:val="0"/>
                <w:color w:val="1A1A1A"/>
                <w:sz w:val="21"/>
              </w:rPr>
              <w:t>Buffett Indicator는 GDP 대비 시총이라, 미국 기업의 글로벌 매출 구조와 정부 재정·유동성을 충분히 반영하지 못한다는 비판이 최근 나온다.</w:t>
            </w:r>
          </w:p>
          <w:p>
            <w:pPr>
              <w:spacing w:after="20" w:before="0" w:line="276" w:lineRule="auto"/>
            </w:pPr>
            <w:r>
              <w:rPr>
                <w:rFonts w:ascii="맑은 고딕" w:hAnsi="맑은 고딕" w:eastAsia="맑은 고딕"/>
                <w:b w:val="0"/>
                <w:i w:val="0"/>
                <w:color w:val="1A1A1A"/>
                <w:sz w:val="21"/>
              </w:rPr>
              <w:t>2025년 초에 이것만 보고 “곧 폭락”이라고 했다면 틀렸다.</w:t>
            </w:r>
          </w:p>
          <w:p>
            <w:pPr>
              <w:spacing w:after="20" w:before="0" w:line="276" w:lineRule="auto"/>
            </w:pPr>
            <w:r>
              <w:rPr>
                <w:rFonts w:ascii="맑은 고딕" w:hAnsi="맑은 고딕" w:eastAsia="맑은 고딕"/>
                <w:b w:val="0"/>
                <w:i w:val="0"/>
                <w:color w:val="1A1A1A"/>
                <w:sz w:val="21"/>
              </w:rPr>
              <w:t>2026년 중반 현재도 “역사적으로 매우 비싼 시장”이라는 진단 자체는 틀린 것이 아니다.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VI.  </w:t>
      </w:r>
      <w:r>
        <w:rPr>
          <w:rFonts w:ascii="맑은 고딕" w:hAnsi="맑은 고딕" w:eastAsia="맑은 고딕"/>
          <w:b/>
          <w:i w:val="0"/>
          <w:color w:val="0F2043"/>
          <w:sz w:val="32"/>
        </w:rPr>
        <w:t>장기금리와 자금 — 30년 TIPS, Rosenberg, Bessent</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지금 AI·메모리 주식의 핵심 변수는 Fed 단기금리보다 30년 TIPS 실질금리다. 현재 2.94%, 경계선 3.0%.</w:t>
            </w:r>
          </w:p>
          <w:p>
            <w:pPr>
              <w:spacing w:after="20" w:before="0" w:line="276" w:lineRule="auto"/>
            </w:pPr>
            <w:r>
              <w:rPr>
                <w:rFonts w:ascii="맑은 고딕" w:hAnsi="맑은 고딕" w:eastAsia="맑은 고딕"/>
                <w:b w:val="0"/>
                <w:i w:val="0"/>
                <w:color w:val="1A1A1A"/>
                <w:sz w:val="21"/>
              </w:rPr>
              <w:t>Rosenberg는 최근 10년물 상승의 상당 부분을 재정적자가 아니라 하이퍼스케일러 장기채 발행으로 본다.</w:t>
            </w:r>
          </w:p>
          <w:p>
            <w:pPr>
              <w:spacing w:after="20" w:before="0" w:line="276" w:lineRule="auto"/>
            </w:pPr>
            <w:r>
              <w:rPr>
                <w:rFonts w:ascii="맑은 고딕" w:hAnsi="맑은 고딕" w:eastAsia="맑은 고딕"/>
                <w:b w:val="0"/>
                <w:i w:val="0"/>
                <w:color w:val="1A1A1A"/>
                <w:sz w:val="21"/>
              </w:rPr>
              <w:t>정부는 10년물 5%를 허용하지 않을 것이라는 해석이 나온다. 그래도 바이백은 시험용 풍선이고 QE가 아니다.</w:t>
            </w:r>
          </w:p>
        </w:tc>
      </w:tr>
    </w:tbl>
    <w:p>
      <w:pPr>
        <w:spacing w:after="120"/>
      </w:pPr>
    </w:p>
    <w:p>
      <w:pPr>
        <w:spacing w:before="200" w:after="80"/>
      </w:pPr>
      <w:r>
        <w:rPr>
          <w:rFonts w:ascii="맑은 고딕" w:hAnsi="맑은 고딕" w:eastAsia="맑은 고딕"/>
          <w:b/>
          <w:i w:val="0"/>
          <w:color w:val="1E407C"/>
          <w:sz w:val="26"/>
        </w:rPr>
        <w:t>1. Bear Steepening과 30년 TIPS</w:t>
      </w:r>
    </w:p>
    <w:p>
      <w:pPr>
        <w:spacing w:after="120" w:before="0" w:line="283" w:lineRule="auto"/>
        <w:jc w:val="left"/>
      </w:pPr>
      <w:r>
        <w:rPr>
          <w:rFonts w:ascii="맑은 고딕" w:hAnsi="맑은 고딕" w:eastAsia="맑은 고딕"/>
          <w:b w:val="0"/>
          <w:i w:val="0"/>
          <w:color w:val="1A1A1A"/>
          <w:sz w:val="22"/>
        </w:rPr>
        <w:t>7월 17일에서 8월 17일 사이 2년물은 4.18%에서 4.19%로 거의 움직이지 않았다. 같은 기간 10년물 +17bp, 20년물 +23bp, 30년물 +25bp로 5.31%까지 올랐다. 단기금리, 즉 Fed 정책 기대는 크게 변하지 않았고, 투자자들이 장기채에 더 높은 보상을 요구한 것이다. 이것이 Bear Steepening이다. Bull steepening은 금리 하락, 특히 단기금리의 큰 하락이다. 지금처럼 장기만 더 오르는 곡선은 성장주·AI 밸류에이션에 부담이 된다.</w:t>
      </w:r>
    </w:p>
    <w:p>
      <w:pPr>
        <w:spacing w:after="120" w:before="0" w:line="283" w:lineRule="auto"/>
        <w:jc w:val="left"/>
      </w:pPr>
      <w:r>
        <w:rPr>
          <w:rFonts w:ascii="맑은 고딕" w:hAnsi="맑은 고딕" w:eastAsia="맑은 고딕"/>
          <w:b w:val="0"/>
          <w:i w:val="0"/>
          <w:color w:val="1A1A1A"/>
          <w:sz w:val="22"/>
        </w:rPr>
        <w:t>이 레포트가 가장 중요하게 보는 지표는 30년 TIPS 실질금리다. TIPS(Treasury Inflation-Protected Securities)는 미국 물가연동국채다. 30년 TIPS는 향후 물가를 제외하고 투자자가 요구하는 장기 실질수익률이다. 7월 중순 2.87%, 8월 19일 2.94%, 경계선은 3.0%다.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구간</w:t>
            </w:r>
          </w:p>
        </w:tc>
        <w:tc>
          <w:tcPr>
            <w:tcW w:type="dxa" w:w="771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2.87% 이하</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시장에 우호적. 위험선호 재개 가능</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2.87~3.0%</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경계. 현재(2.94%)가 여기 있다</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 돌파</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리스크 확대. AI·메모리 밸류 추가 조정 경계</w:t>
            </w:r>
          </w:p>
        </w:tc>
      </w:tr>
    </w:tbl>
    <w:p>
      <w:pPr>
        <w:spacing w:after="160" w:before="40"/>
      </w:pPr>
    </w:p>
    <w:p>
      <w:pPr>
        <w:spacing w:after="120" w:before="0" w:line="283" w:lineRule="auto"/>
        <w:jc w:val="left"/>
      </w:pPr>
      <w:r>
        <w:rPr>
          <w:rFonts w:ascii="맑은 고딕" w:hAnsi="맑은 고딕" w:eastAsia="맑은 고딕"/>
          <w:b w:val="0"/>
          <w:i w:val="0"/>
          <w:color w:val="1A1A1A"/>
          <w:sz w:val="22"/>
        </w:rPr>
        <w:t>금리 상승에 따른 밸류에이션 조정은 AI/메모리 업황 악화와 같은 말이 아니다. 업황이 좋아도 할인율이 오르면 주가는 눌릴 수 있다. 반대도 성립한다.</w:t>
      </w:r>
    </w:p>
    <w:p>
      <w:pPr>
        <w:spacing w:before="200" w:after="80"/>
      </w:pPr>
      <w:r>
        <w:rPr>
          <w:rFonts w:ascii="맑은 고딕" w:hAnsi="맑은 고딕" w:eastAsia="맑은 고딕"/>
          <w:b/>
          <w:i w:val="0"/>
          <w:color w:val="1E407C"/>
          <w:sz w:val="26"/>
        </w:rPr>
        <w:t>2. 국채 40조 달러와 빅테크 회사채의 경쟁</w:t>
      </w:r>
    </w:p>
    <w:p>
      <w:pPr>
        <w:spacing w:after="120" w:before="0" w:line="283" w:lineRule="auto"/>
        <w:jc w:val="left"/>
      </w:pPr>
      <w:r>
        <w:rPr>
          <w:rFonts w:ascii="맑은 고딕" w:hAnsi="맑은 고딕" w:eastAsia="맑은 고딕"/>
          <w:b w:val="0"/>
          <w:i w:val="0"/>
          <w:color w:val="1A1A1A"/>
          <w:sz w:val="22"/>
        </w:rPr>
        <w:t>기사의 제목은 이것이다. “미 국채가 국가부채 30조 달러 때도 안전자산이었다면, 40조 달러가 된 지금은 과연 어떤가?” 미국 국가부채는 40조 달러를 넘었고, 10년물 금리는 2월 말 4% 이하에서 현재 4%대 후반이다. 기사의 결론은 국채가 안전하지 않다는 것이 아니라, 과거와 같은 무조건적인 안전자산은 아니라는 것이다. 단기 국채는 듀레이션 위험이 작아 장기채보다 상대적으로 낫다는 시각이다.</w:t>
      </w:r>
    </w:p>
    <w:p>
      <w:pPr>
        <w:spacing w:after="120" w:before="0" w:line="283" w:lineRule="auto"/>
        <w:jc w:val="left"/>
      </w:pPr>
      <w:r>
        <w:rPr>
          <w:rFonts w:ascii="맑은 고딕" w:hAnsi="맑은 고딕" w:eastAsia="맑은 고딕"/>
          <w:b w:val="0"/>
          <w:i w:val="0"/>
          <w:color w:val="1A1A1A"/>
          <w:sz w:val="22"/>
        </w:rPr>
        <w:t>기존 논리는 미국 재정적자 확대 → 국채 공급 증가 → 국채 가격 하락 → 금리 상승이다. 이번 기사와 Rosenberg가 강조하는 새로운 요인은 다음이다.</w:t>
      </w:r>
    </w:p>
    <w:p>
      <w:pPr>
        <w:spacing w:before="80" w:after="160" w:line="288" w:lineRule="auto"/>
        <w:jc w:val="center"/>
      </w:pPr>
      <w:r>
        <w:rPr>
          <w:rFonts w:ascii="맑은 고딕" w:hAnsi="맑은 고딕" w:eastAsia="맑은 고딕"/>
          <w:b/>
          <w:i w:val="0"/>
          <w:color w:val="0F2043"/>
          <w:sz w:val="22"/>
        </w:rPr>
        <w:t>AI DC CAPEX</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하이퍼스케일러 FCF 악화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회사채 발행</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국채와 자금 경쟁</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10·30년물 상승</w:t>
      </w:r>
    </w:p>
    <w:p>
      <w:pPr>
        <w:spacing w:after="120" w:before="0" w:line="283" w:lineRule="auto"/>
        <w:jc w:val="left"/>
      </w:pPr>
      <w:r>
        <w:rPr>
          <w:rFonts w:ascii="맑은 고딕" w:hAnsi="맑은 고딕" w:eastAsia="맑은 고딕"/>
          <w:b w:val="0"/>
          <w:i w:val="0"/>
          <w:color w:val="1A1A1A"/>
          <w:sz w:val="22"/>
        </w:rPr>
        <w:t>Google, Amazon, Microsoft, Meta, Oracle 등이 데이터센터에 돈을 쓰며 현금흐름 부담이 늘고, 회사채를 찍어 장기채 시장에서 국채와 투자자 자금을 놓고 경쟁한다. 기사에서는 주요 하이퍼스케일러 4곳 중 3곳이 FCF 적자 상태라고 지적한다. 2026년 주요 4개사는 이미 약 1,940억 달러를 발행했고, Goldman은 주요 5개사가 2026년 약 2,500억 달러, 2027년 약 4,000억 달러를 발행할 것으로 본다.</w:t>
      </w:r>
    </w:p>
    <w:p>
      <w:pPr>
        <w:spacing w:after="120" w:before="0" w:line="283" w:lineRule="auto"/>
        <w:jc w:val="left"/>
      </w:pPr>
      <w:r>
        <w:rPr>
          <w:rFonts w:ascii="맑은 고딕" w:hAnsi="맑은 고딕" w:eastAsia="맑은 고딕"/>
          <w:b w:val="0"/>
          <w:i w:val="0"/>
          <w:color w:val="1A1A1A"/>
          <w:sz w:val="22"/>
        </w:rPr>
        <w:t>또 하나의 문제는 채권 ETF의 국채 쏠림이다. Bloomberg Aggregate 같은 시가총액 가중 채권지수에서 정부채 비중은 25년 전 약 20%에서 현재 약 50%로 늘었다. 미국 정부 부채가 늘면 지수 추종 ETF는 투자자가 의식하지 않아도 국채를 더 많이 보유하게 된다. Repetto의 표현대로, Treasury도 시장의 한 참여자로 보고 얼마를 배분할지 결정해야 하는 국면이다.</w:t>
      </w:r>
    </w:p>
    <w:p>
      <w:pPr>
        <w:spacing w:before="200" w:after="80"/>
      </w:pPr>
      <w:r>
        <w:rPr>
          <w:rFonts w:ascii="맑은 고딕" w:hAnsi="맑은 고딕" w:eastAsia="맑은 고딕"/>
          <w:b/>
          <w:i w:val="0"/>
          <w:color w:val="1E407C"/>
          <w:sz w:val="26"/>
        </w:rPr>
        <w:t>3. Rosenberg의 두 문장</w:t>
      </w:r>
    </w:p>
    <w:p>
      <w:pPr>
        <w:spacing w:after="120" w:before="0" w:line="283" w:lineRule="auto"/>
        <w:jc w:val="left"/>
      </w:pPr>
      <w:r>
        <w:rPr>
          <w:rFonts w:ascii="맑은 고딕" w:hAnsi="맑은 고딕" w:eastAsia="맑은 고딕"/>
          <w:b w:val="0"/>
          <w:i w:val="0"/>
          <w:color w:val="1A1A1A"/>
          <w:sz w:val="22"/>
        </w:rPr>
        <w:t>David Rosenberg는 거시·채권 전문가로, 현재 Rosenberg Research 창립자 겸 대표다. 과거 Merrill Lynch Canada 수석 이코노미스트로, 미국 경기·금리·인플레이션을 비관적으로 보는 분석으로 자주 인용된다. 이번 기사에서 직책보다 중요한 것은 주장이다.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최근 10년물 금리 상승을 미국 정부 재정적자의 갑작스러운 악화만으로 보지 않는다. 하이퍼스케일러의 장기채 발행 급증이 중요한 원인이다.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정부는 10년물 금리가 5%까지 올라가는 것을 허용하지 않을 것이다. 시장은 10년물 5%를 사실상 레드라인으로 읽는다.</w:t>
      </w:r>
    </w:p>
    <w:p>
      <w:pPr>
        <w:spacing w:after="120" w:before="0" w:line="283" w:lineRule="auto"/>
        <w:jc w:val="left"/>
      </w:pPr>
      <w:r>
        <w:rPr>
          <w:rFonts w:ascii="맑은 고딕" w:hAnsi="맑은 고딕" w:eastAsia="맑은 고딕"/>
          <w:b w:val="0"/>
          <w:i w:val="0"/>
          <w:color w:val="1A1A1A"/>
          <w:sz w:val="22"/>
        </w:rPr>
        <w:t>10년물이 5%에 접근하면 재무부 바이백 확대, 유동성 공급, Fed 정책 기대 변화 등의 대응 가능성이 커진다는 논리다. 최근 40억 달러 규모 국채 바이백에 대해 Rosenberg는 본격적인 해결책이라기보다 시험용 풍선으로 해석한다. 미국에는 10년 이상 만기의 시장성 국채가 약 4조 달러 있으므로, 필요하면 더 큰 규모의 바이백으로 장기채 수급을 개선하고 금리 상승을 억제할 여지는 있다.</w:t>
      </w:r>
    </w:p>
    <w:p>
      <w:pPr>
        <w:spacing w:before="200" w:after="80"/>
      </w:pPr>
      <w:r>
        <w:rPr>
          <w:rFonts w:ascii="맑은 고딕" w:hAnsi="맑은 고딕" w:eastAsia="맑은 고딕"/>
          <w:b/>
          <w:i w:val="0"/>
          <w:color w:val="1E407C"/>
          <w:sz w:val="26"/>
        </w:rPr>
        <w:t>4. Bessent Put과 바이백의 한계</w:t>
      </w:r>
    </w:p>
    <w:p>
      <w:pPr>
        <w:spacing w:after="120" w:before="0" w:line="283" w:lineRule="auto"/>
        <w:jc w:val="left"/>
      </w:pPr>
      <w:r>
        <w:rPr>
          <w:rFonts w:ascii="맑은 고딕" w:hAnsi="맑은 고딕" w:eastAsia="맑은 고딕"/>
          <w:b w:val="0"/>
          <w:i w:val="0"/>
          <w:color w:val="1A1A1A"/>
          <w:sz w:val="22"/>
        </w:rPr>
        <w:t>미 재무부는 장기국채 바이백 규모를 기존 회당 최대 20억 달러에서 최소 40억 달러로 확대했다. 장기금리 급등을 막겠다는 ‘Bessent Put’ 신호로 읽힌다. 다만 추가 매입 규모는 전체 국채 발행 대비 약 0.15%에 불과해, 구조적인 장기금리 상승을 풀기에는 부족하다.</w:t>
      </w:r>
    </w:p>
    <w:p>
      <w:pPr>
        <w:spacing w:after="120" w:before="0" w:line="283" w:lineRule="auto"/>
        <w:jc w:val="left"/>
      </w:pPr>
      <w:r>
        <w:rPr>
          <w:rFonts w:ascii="맑은 고딕" w:hAnsi="맑은 고딕" w:eastAsia="맑은 고딕"/>
          <w:b w:val="0"/>
          <w:i w:val="0"/>
          <w:color w:val="1A1A1A"/>
          <w:sz w:val="22"/>
        </w:rPr>
        <w:t>뱅크오브아메리카 전략가 마이클 하트넷은 스콧 베센트 재무장관이 30년물 금리를 5% 아래로 끌어내지 못하면 향후 수주간 달러가 하락하고, 11월 중간선거를 앞두고 AI 하이퍼스케일러와 사모신용 등 위험자산, 금융주에 대한 공매도 베팅이 확대될 수 있다고 본다. 그의 문장은 이것이다. “채권시장을 정상화하기 위한 정책적 패닉은 미 국채 금리 상승을 제한할 수는 있지만 금리 자체를 낮추지는 못할 것이다.”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바이백 ≠ QE</w:t>
            </w:r>
          </w:p>
          <w:p>
            <w:pPr>
              <w:spacing w:after="20" w:before="0" w:line="276" w:lineRule="auto"/>
            </w:pPr>
            <w:r>
              <w:rPr>
                <w:rFonts w:ascii="맑은 고딕" w:hAnsi="맑은 고딕" w:eastAsia="맑은 고딕"/>
                <w:b w:val="0"/>
                <w:i w:val="0"/>
                <w:color w:val="1A1A1A"/>
                <w:sz w:val="21"/>
              </w:rPr>
              <w:t>재무부 바이백은 국채시장 안에서 만기·종목을 교체해 수급을 조절하는 것이다.</w:t>
            </w:r>
          </w:p>
          <w:p>
            <w:pPr>
              <w:spacing w:after="20" w:before="0" w:line="276" w:lineRule="auto"/>
            </w:pPr>
            <w:r>
              <w:rPr>
                <w:rFonts w:ascii="맑은 고딕" w:hAnsi="맑은 고딕" w:eastAsia="맑은 고딕"/>
                <w:b w:val="0"/>
                <w:i w:val="0"/>
                <w:color w:val="1A1A1A"/>
                <w:sz w:val="21"/>
              </w:rPr>
              <w:t>Fed QE는 중앙은행 대차대조표 확대를 통한 유동성 공급이다. 둘은 구별해야 한다.</w:t>
            </w:r>
          </w:p>
          <w:p>
            <w:pPr>
              <w:spacing w:after="20" w:before="0" w:line="276" w:lineRule="auto"/>
            </w:pPr>
            <w:r>
              <w:rPr>
                <w:rFonts w:ascii="맑은 고딕" w:hAnsi="맑은 고딕" w:eastAsia="맑은 고딕"/>
                <w:b w:val="0"/>
                <w:i w:val="0"/>
                <w:color w:val="1A1A1A"/>
                <w:sz w:val="21"/>
              </w:rPr>
              <w:t>기사에서 말한 “결국 시장이 이긴다”는 재무부가 장기금리를 직접 통제하는 능력에는 한계가 있다는 뜻이다.</w:t>
            </w:r>
          </w:p>
        </w:tc>
      </w:tr>
    </w:tbl>
    <w:p>
      <w:pPr>
        <w:spacing w:after="120"/>
      </w:pPr>
    </w:p>
    <w:p>
      <w:pPr>
        <w:spacing w:after="120" w:before="0" w:line="283" w:lineRule="auto"/>
        <w:jc w:val="left"/>
      </w:pPr>
      <w:r>
        <w:rPr>
          <w:rFonts w:ascii="맑은 고딕" w:hAnsi="맑은 고딕" w:eastAsia="맑은 고딕"/>
          <w:b w:val="0"/>
          <w:i w:val="0"/>
          <w:color w:val="1A1A1A"/>
          <w:sz w:val="22"/>
        </w:rPr>
        <w:t>그럼에도 이 레포트의 정책 판단은 열려 있다. 미 정부는 임시방편이라 해도 중간선거 전 문제를 막기 위한 추가 조치를 취할 가능성이 크다. Clarity 법안 통과 촉구도 단기채 수요 확보의 일환으로 읽을 수 있다. 금리를 최대한 억제하려 할 것이다. 경계 의견은 알고 가되, 정책 대응 자체를 닫아 둘 이유는 없다.</w:t>
      </w:r>
    </w:p>
    <w:p>
      <w:pPr>
        <w:spacing w:before="200" w:after="80"/>
      </w:pPr>
      <w:r>
        <w:rPr>
          <w:rFonts w:ascii="맑은 고딕" w:hAnsi="맑은 고딕" w:eastAsia="맑은 고딕"/>
          <w:b/>
          <w:i w:val="0"/>
          <w:color w:val="1E407C"/>
          <w:sz w:val="26"/>
        </w:rPr>
        <w:t>5. 정책 선택은 자제가 아니라 원활화</w:t>
      </w:r>
    </w:p>
    <w:p>
      <w:pPr>
        <w:spacing w:after="120" w:before="0" w:line="283" w:lineRule="auto"/>
        <w:jc w:val="left"/>
      </w:pPr>
      <w:r>
        <w:rPr>
          <w:rFonts w:ascii="맑은 고딕" w:hAnsi="맑은 고딕" w:eastAsia="맑은 고딕"/>
          <w:b w:val="0"/>
          <w:i w:val="0"/>
          <w:color w:val="1A1A1A"/>
          <w:sz w:val="22"/>
        </w:rPr>
        <w:t>그렇다면 빅테크 AI 투자를 원활하게 할 방법을 강구할 것인가, 아니면 투자를 자제시킬 것인가. 전자가 우선이다. 미국 성장은 AI가 주춤하는 순간 물건너 간다. 물론 임계점은 있을 것이라는 비관적 시각도 타당하다. 그 임계점을 누구도 정확히 알 수 없기 때문에 논란이 지속된다. (특히 메모리) 주가는 우려를 상당히 반영한 상태로 본다. 유지할 마음은 이것이다. AI 경쟁의 미래를 믿되, 계속 검증하는 마음.</w:t>
      </w:r>
    </w:p>
    <w:p>
      <w:pPr>
        <w:spacing w:before="200" w:after="80"/>
      </w:pPr>
      <w:r>
        <w:rPr>
          <w:rFonts w:ascii="맑은 고딕" w:hAnsi="맑은 고딕" w:eastAsia="맑은 고딕"/>
          <w:b/>
          <w:i w:val="0"/>
          <w:color w:val="1E407C"/>
          <w:sz w:val="26"/>
        </w:rPr>
        <w:t>6. 투자 프레임</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Horizon</w:t>
            </w:r>
          </w:p>
        </w:tc>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스탠스</w:t>
            </w:r>
          </w:p>
        </w:tc>
        <w:tc>
          <w:tcPr>
            <w:tcW w:type="dxa" w:w="612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조건</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단기</w:t>
            </w:r>
          </w:p>
        </w:tc>
        <w:tc>
          <w:tcPr>
            <w:tcW w:type="dxa" w:w="238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HOLD / 변동성 확대</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2.94%, 아직 3% 아래. 바이백은 작고 국채+회사채 공급 부담은 지속</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장기</w:t>
            </w:r>
          </w:p>
        </w:tc>
        <w:tc>
          <w:tcPr>
            <w:tcW w:type="dxa" w:w="238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긍정</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S&amp;P 이익 견조, 하이퍼스케일러 CAPEX 지속, AI 사이클 유지, Fed 긴축 우려 완화</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VII.  </w:t>
      </w:r>
      <w:r>
        <w:rPr>
          <w:rFonts w:ascii="맑은 고딕" w:hAnsi="맑은 고딕" w:eastAsia="맑은 고딕"/>
          <w:b/>
          <w:i w:val="0"/>
          <w:color w:val="0F2043"/>
          <w:sz w:val="32"/>
        </w:rPr>
        <w:t>반도체 4뉴스와 AI 인프라의 금융화</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Broadcom 600억 달러 이상과 Anthropic 13억 달러는 별개 뉴스가 아니라 같은 AI 인프라 금융화다.</w:t>
            </w:r>
          </w:p>
          <w:p>
            <w:pPr>
              <w:spacing w:after="20" w:before="0" w:line="276" w:lineRule="auto"/>
            </w:pPr>
            <w:r>
              <w:rPr>
                <w:rFonts w:ascii="맑은 고딕" w:hAnsi="맑은 고딕" w:eastAsia="맑은 고딕"/>
                <w:b w:val="0"/>
                <w:i w:val="0"/>
                <w:color w:val="1A1A1A"/>
                <w:sz w:val="21"/>
              </w:rPr>
              <w:t>질문은 “AI 기업이 지금 현금이 있느냐”가 아니라 “미래 현금흐름을 담보로 금융을 만들 수 있느냐”다.</w:t>
            </w:r>
          </w:p>
          <w:p>
            <w:pPr>
              <w:spacing w:after="20" w:before="0" w:line="276" w:lineRule="auto"/>
            </w:pPr>
            <w:r>
              <w:rPr>
                <w:rFonts w:ascii="맑은 고딕" w:hAnsi="맑은 고딕" w:eastAsia="맑은 고딕"/>
                <w:b w:val="0"/>
                <w:i w:val="0"/>
                <w:color w:val="1A1A1A"/>
                <w:sz w:val="21"/>
              </w:rPr>
              <w:t>KEY는 토큰 수요 증가 속도다. 제번스 역설·에이전트 AI 확대 vs. 반도체 효율화·토큰 가격 하락.</w:t>
            </w:r>
          </w:p>
        </w:tc>
      </w:tr>
    </w:tbl>
    <w:p>
      <w:pPr>
        <w:spacing w:after="120"/>
      </w:pPr>
    </w:p>
    <w:p>
      <w:pPr>
        <w:spacing w:before="200" w:after="80"/>
      </w:pPr>
      <w:r>
        <w:rPr>
          <w:rFonts w:ascii="맑은 고딕" w:hAnsi="맑은 고딕" w:eastAsia="맑은 고딕"/>
          <w:b/>
          <w:i w:val="0"/>
          <w:color w:val="1E407C"/>
          <w:sz w:val="26"/>
        </w:rPr>
        <w:t>1. 관통하는 흐름</w:t>
      </w:r>
    </w:p>
    <w:p>
      <w:pPr>
        <w:spacing w:before="80" w:after="160" w:line="288" w:lineRule="auto"/>
        <w:jc w:val="center"/>
      </w:pPr>
      <w:r>
        <w:rPr>
          <w:rFonts w:ascii="맑은 고딕" w:hAnsi="맑은 고딕" w:eastAsia="맑은 고딕"/>
          <w:b/>
          <w:i w:val="0"/>
          <w:color w:val="0F2043"/>
          <w:sz w:val="22"/>
        </w:rPr>
        <w:t>AI 수요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HBM / ASIC</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DC CAPEX 폭증</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Private credit</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금융 구조 확대</w:t>
      </w:r>
    </w:p>
    <w:p>
      <w:pPr>
        <w:spacing w:after="120" w:before="0" w:line="283" w:lineRule="auto"/>
        <w:jc w:val="left"/>
      </w:pPr>
      <w:r>
        <w:rPr>
          <w:rFonts w:ascii="맑은 고딕" w:hAnsi="맑은 고딕" w:eastAsia="맑은 고딕"/>
          <w:b w:val="0"/>
          <w:i w:val="0"/>
          <w:color w:val="1A1A1A"/>
          <w:sz w:val="22"/>
        </w:rPr>
        <w:t>동시에 Micron과 Samsung은 메모리·패키징 생산능력을 선제적으로 확대하고 있다. 사이클은 GPU 대량 구매 단계를 지나 ① AI 칩 ② HBM ③ 패키징 ④ 데이터센터 ⑤ 전력 ⑥ 금융 전체로 확산 중이다.</w:t>
      </w:r>
    </w:p>
    <w:p>
      <w:pPr>
        <w:spacing w:before="200" w:after="80"/>
      </w:pPr>
      <w:r>
        <w:rPr>
          <w:rFonts w:ascii="맑은 고딕" w:hAnsi="맑은 고딕" w:eastAsia="맑은 고딕"/>
          <w:b/>
          <w:i w:val="0"/>
          <w:color w:val="1E407C"/>
          <w:sz w:val="26"/>
        </w:rPr>
        <w:t>2. 마이크론 Research Labs — 상당 부분 신규</w:t>
      </w:r>
    </w:p>
    <w:p>
      <w:pPr>
        <w:spacing w:after="120" w:before="0" w:line="283" w:lineRule="auto"/>
        <w:jc w:val="left"/>
      </w:pPr>
      <w:r>
        <w:rPr>
          <w:rFonts w:ascii="맑은 고딕" w:hAnsi="맑은 고딕" w:eastAsia="맑은 고딕"/>
          <w:b w:val="0"/>
          <w:i w:val="0"/>
          <w:color w:val="1A1A1A"/>
          <w:sz w:val="22"/>
        </w:rPr>
        <w:t>II장에서 자세히 다룬 항목이다. 여기서는 4뉴스 묶음의 위치로만 재확인한다. 10년 100억 달러 연구소는 단기 공급 증가가 아니라, 미국이 메모리 R&amp;D까지 내재화하는 신호다. 한국 메모리 업체와의 장기 기술경쟁 강도를 높일 수 있다.</w:t>
      </w:r>
    </w:p>
    <w:p>
      <w:pPr>
        <w:spacing w:before="200" w:after="80"/>
      </w:pPr>
      <w:r>
        <w:rPr>
          <w:rFonts w:ascii="맑은 고딕" w:hAnsi="맑은 고딕" w:eastAsia="맑은 고딕"/>
          <w:b/>
          <w:i w:val="0"/>
          <w:color w:val="1E407C"/>
          <w:sz w:val="26"/>
        </w:rPr>
        <w:t>3. 브로드컴 — 반도체 공급을 넘어 금융 설계자</w:t>
      </w:r>
    </w:p>
    <w:p>
      <w:pPr>
        <w:spacing w:after="120" w:before="0" w:line="283" w:lineRule="auto"/>
        <w:jc w:val="left"/>
      </w:pPr>
      <w:r>
        <w:rPr>
          <w:rFonts w:ascii="맑은 고딕" w:hAnsi="맑은 고딕" w:eastAsia="맑은 고딕"/>
          <w:b w:val="0"/>
          <w:i w:val="0"/>
          <w:color w:val="1A1A1A"/>
          <w:sz w:val="22"/>
        </w:rPr>
        <w:t>블룸버그 보도를 매일경제 등이 전한 내용의 골격은 이렇다. 브로드컴이 앤트로픽 등 AI 기업의 컴퓨팅 인프라 구축을 위해 최대 1,000억 달러(약 140조 원) 규모 자금 조달을 추진한다. 선순위 담보대출 600~700억 달러(브로드컴이 일부 보증), 후순위 약 300억 달러가 더해질 수 있다. 블랙스톤과 아폴로글로벌매니지먼트도 참여를 논의 중이다.</w:t>
      </w:r>
    </w:p>
    <w:p>
      <w:pPr>
        <w:spacing w:after="120" w:before="0" w:line="283" w:lineRule="auto"/>
        <w:jc w:val="left"/>
      </w:pPr>
      <w:r>
        <w:rPr>
          <w:rFonts w:ascii="맑은 고딕" w:hAnsi="맑은 고딕" w:eastAsia="맑은 고딕"/>
          <w:b w:val="0"/>
          <w:i w:val="0"/>
          <w:color w:val="1A1A1A"/>
          <w:sz w:val="22"/>
        </w:rPr>
        <w:t>이것을 “브로드컴이 돈이 부족해서 600억 달러를 빌린다”고 보면 안 된다. 구조는 특수목적법인(SPV)이 자금을 조달하고, 그 돈으로 브로드컴의 맞춤형 AI 반도체와 네트워크 장비를 산 뒤, 앤트로픽 등 AI 기업에 임대하는 방식이다. 브로드컴이 일부 채무를 보증하면 금융회사는 위험 부담을 낮춘 채 대규모 자금을 공급할 수 있다. AI 기업은 수백억 달러를 한꺼번에 투자하지 않고도 컴퓨트를 확보하고, 브로드컴은 안정적인 판매처를 확보한다.</w:t>
      </w:r>
    </w:p>
    <w:p>
      <w:pPr>
        <w:spacing w:after="120" w:before="0" w:line="283" w:lineRule="auto"/>
        <w:jc w:val="left"/>
      </w:pPr>
      <w:r>
        <w:rPr>
          <w:rFonts w:ascii="맑은 고딕" w:hAnsi="맑은 고딕" w:eastAsia="맑은 고딕"/>
          <w:b w:val="0"/>
          <w:i w:val="0"/>
          <w:color w:val="1A1A1A"/>
          <w:sz w:val="22"/>
        </w:rPr>
        <w:t>이미 2026년 6월 브로드컴 + 블랙스톤 + 아폴로가 앤트로픽 AI 인프라 확대를 위해 350억 달러 규모 플랫폼을 만들기로 했다. 이번 뉴스는 그 구조를 더 큰 규모로 확대하는 금융이 논의되고 있다는 추가 보도다. AI 인프라 투자가 “빅테크가 현금으로 CAPEX를 집행”하는 단계에서 “AI 칩을 담보·기반으로 대규모 부채를 만들어 데이터센터를 짓는” 단계로 진화하고 있다.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본질</w:t>
            </w:r>
          </w:p>
          <w:p>
            <w:pPr>
              <w:spacing w:after="20" w:before="0" w:line="276" w:lineRule="auto"/>
            </w:pPr>
            <w:r>
              <w:rPr>
                <w:rFonts w:ascii="맑은 고딕" w:hAnsi="맑은 고딕" w:eastAsia="맑은 고딕"/>
                <w:b w:val="0"/>
                <w:i w:val="0"/>
                <w:color w:val="1A1A1A"/>
                <w:sz w:val="21"/>
              </w:rPr>
              <w:t>예를 들어 앤트로픽이 향후 5년 동안 300억 달러의 AI 인프라가 필요하다고 하자.</w:t>
            </w:r>
          </w:p>
          <w:p>
            <w:pPr>
              <w:spacing w:after="20" w:before="0" w:line="276" w:lineRule="auto"/>
            </w:pPr>
            <w:r>
              <w:rPr>
                <w:rFonts w:ascii="맑은 고딕" w:hAnsi="맑은 고딕" w:eastAsia="맑은 고딕"/>
                <w:b w:val="0"/>
                <w:i w:val="0"/>
                <w:color w:val="1A1A1A"/>
                <w:sz w:val="21"/>
              </w:rPr>
              <w:t>직접 투자하기 어렵더라도 SPV가 조달 → 브로드컴에서 칩/장비 300억 달러 구매 → 앤트로픽이 사용한다.</w:t>
            </w:r>
          </w:p>
          <w:p>
            <w:pPr>
              <w:spacing w:after="20" w:before="0" w:line="276" w:lineRule="auto"/>
            </w:pPr>
            <w:r>
              <w:rPr>
                <w:rFonts w:ascii="맑은 고딕" w:hAnsi="맑은 고딕" w:eastAsia="맑은 고딕"/>
                <w:b w:val="0"/>
                <w:i w:val="0"/>
                <w:color w:val="1A1A1A"/>
                <w:sz w:val="21"/>
              </w:rPr>
              <w:t>브로드컴 입장에서는 “앤트로픽이 돈이 있느냐”보다 “미래 현금흐름을 담보로 금융을 만들 수 있느냐”가 중요해진다.</w:t>
            </w:r>
          </w:p>
          <w:p>
            <w:pPr>
              <w:spacing w:after="20" w:before="0" w:line="276" w:lineRule="auto"/>
            </w:pPr>
            <w:r>
              <w:rPr>
                <w:rFonts w:ascii="맑은 고딕" w:hAnsi="맑은 고딕" w:eastAsia="맑은 고딕"/>
                <w:b w:val="0"/>
                <w:i w:val="0"/>
                <w:color w:val="1A1A1A"/>
                <w:sz w:val="21"/>
              </w:rPr>
              <w:t>엔비디아 역시 컴퓨트 금융 플랫폼을 5,000억 달러 이상 규모로 키우는 방향이다.</w:t>
            </w:r>
          </w:p>
        </w:tc>
      </w:tr>
    </w:tbl>
    <w:p>
      <w:pPr>
        <w:spacing w:after="120"/>
      </w:pPr>
    </w:p>
    <w:p>
      <w:pPr>
        <w:spacing w:before="160" w:after="60"/>
      </w:pPr>
      <w:r>
        <w:rPr>
          <w:rFonts w:ascii="맑은 고딕" w:hAnsi="맑은 고딕" w:eastAsia="맑은 고딕"/>
          <w:b/>
          <w:i w:val="0"/>
          <w:color w:val="0F2043"/>
          <w:sz w:val="23"/>
        </w:rPr>
        <w:t>양면</w:t>
      </w:r>
    </w:p>
    <w:p>
      <w:pPr>
        <w:spacing w:after="120" w:before="0" w:line="283" w:lineRule="auto"/>
        <w:jc w:val="left"/>
      </w:pPr>
      <w:r>
        <w:rPr>
          <w:rFonts w:ascii="맑은 고딕" w:hAnsi="맑은 고딕" w:eastAsia="맑은 고딕"/>
          <w:b w:val="0"/>
          <w:i w:val="0"/>
          <w:color w:val="1A1A1A"/>
          <w:sz w:val="22"/>
        </w:rPr>
        <w:t>긍정 면은 분명하다. AI CAPEX의 자금 조달 능력이 크게 확대된다. 앤트로픽 같은 AI 기업이 현금이 부족해도 금융을 통해 컴퓨팅을 확보하고, 브로드컴 칩 주문은 늘어난다. AI 반도체 수요의 가시성은 오히려 높아질 수 있다.</w:t>
      </w:r>
    </w:p>
    <w:p>
      <w:pPr>
        <w:spacing w:after="120" w:before="0" w:line="283" w:lineRule="auto"/>
        <w:jc w:val="left"/>
      </w:pPr>
      <w:r>
        <w:rPr>
          <w:rFonts w:ascii="맑은 고딕" w:hAnsi="맑은 고딕" w:eastAsia="맑은 고딕"/>
          <w:b w:val="0"/>
          <w:i w:val="0"/>
          <w:color w:val="1A1A1A"/>
          <w:sz w:val="22"/>
        </w:rPr>
        <w:t>부정 면의 질문은 이것이다. AI 기업이 미래에 벌 돈으로 이 엄청난 빚을 갚을 수 있는가. 앤트로픽의 AI 서비스 매출이 충분히 증가하지 않으면 임대료 부담 증가 → SPV 현금흐름 악화 → 금융회사 손실 → 브로드컴 보증 부담으로 이어진다. 단순한 반도체 뉴스가 아니라 AI 인프라의 레버리지 확대 뉴스다. AI 투자 전체로 보면, CAPEX를 현금흐름만으로 감당하기 어려워지고 있다는 경고등도 동시에 켜진 것으로 볼 수 있다. KEY는 토큰 수요 증가 속도다. 제번스 역설과 에이전트 AI 확대가 한쪽이고, 반도체 효율화와 토큰 가격 하락이 다른 쪽이다.</w:t>
      </w:r>
    </w:p>
    <w:p>
      <w:pPr>
        <w:spacing w:before="200" w:after="80"/>
      </w:pPr>
      <w:r>
        <w:rPr>
          <w:rFonts w:ascii="맑은 고딕" w:hAnsi="맑은 고딕" w:eastAsia="맑은 고딕"/>
          <w:b/>
          <w:i w:val="0"/>
          <w:color w:val="1E407C"/>
          <w:sz w:val="26"/>
        </w:rPr>
        <w:t>4. 앤트로픽 13억 달러 private credit — 신규 CAPEX가 아니라 금융 전환</w:t>
      </w:r>
    </w:p>
    <w:p>
      <w:pPr>
        <w:spacing w:after="120" w:before="0" w:line="283" w:lineRule="auto"/>
        <w:jc w:val="left"/>
      </w:pPr>
      <w:r>
        <w:rPr>
          <w:rFonts w:ascii="맑은 고딕" w:hAnsi="맑은 고딕" w:eastAsia="맑은 고딕"/>
          <w:b w:val="0"/>
          <w:i w:val="0"/>
          <w:color w:val="1A1A1A"/>
          <w:sz w:val="22"/>
        </w:rPr>
        <w:t>이번에 보도된 것은 약 13억 달러(약 1.8조 원) 규모의 private credit다. Eagle Point Credit Management가 텍사스의 앤트로픽 관련 데이터센터에 대출을 제공하는 구조다. 해당 프로젝트 전체 금융 규모는 약 160억 달러로 알려져 있고, 이번 13억 달러는 그중 한 tranche다.</w:t>
      </w:r>
    </w:p>
    <w:p>
      <w:pPr>
        <w:spacing w:after="120" w:before="0" w:line="283" w:lineRule="auto"/>
        <w:jc w:val="left"/>
      </w:pPr>
      <w:r>
        <w:rPr>
          <w:rFonts w:ascii="맑은 고딕" w:hAnsi="맑은 고딕" w:eastAsia="맑은 고딕"/>
          <w:b w:val="0"/>
          <w:i w:val="0"/>
          <w:color w:val="1A1A1A"/>
          <w:sz w:val="22"/>
        </w:rPr>
        <w:t>앤트로픽은 이미 500억 달러 미국 AI 인프라 투자 계획, 100억 달러 규모 Volta 데이터센터 계약, 여러 개발업체와의 장기 계약을 진행 중이다. 따라서 이번 13억 달러는 새로운 CAPEX 발표라기보다, 기존 확장을 실제 금융으로 전환하는 과정에서 나온 추가 조달이다. 앤트로픽이 직접 빌리기보다, 데이터센터 프로젝트를 앤트로픽이 장기 사용하고 그 현금흐름·계약을 기반으로 private credit를 조달하는 구조다. 데이터센터가 하나의 금융자산으로 만들어지고 있다는 점이 중요하고, 이것이 바로 앞의 브로드컴 뉴스와 연결된다.</w:t>
      </w:r>
    </w:p>
    <w:p>
      <w:pPr>
        <w:spacing w:before="200" w:after="80"/>
      </w:pPr>
      <w:r>
        <w:rPr>
          <w:rFonts w:ascii="맑은 고딕" w:hAnsi="맑은 고딕" w:eastAsia="맑은 고딕"/>
          <w:b/>
          <w:i w:val="0"/>
          <w:color w:val="1E407C"/>
          <w:sz w:val="26"/>
        </w:rPr>
        <w:t>5. 삼성전자 3개 뉴스</w:t>
      </w:r>
    </w:p>
    <w:p>
      <w:pPr>
        <w:spacing w:after="120" w:before="0" w:line="283" w:lineRule="auto"/>
        <w:jc w:val="left"/>
      </w:pPr>
      <w:r>
        <w:rPr>
          <w:rFonts w:ascii="맑은 고딕" w:hAnsi="맑은 고딕" w:eastAsia="맑은 고딕"/>
          <w:b w:val="0"/>
          <w:i w:val="0"/>
          <w:color w:val="1A1A1A"/>
          <w:sz w:val="22"/>
        </w:rPr>
        <w:t>삼성 관련 뉴스는 ① 신규 정책 구체화 ② 기존 투자계획의 착공 구체화 ③ 예상보다 빠른 선행 준비로 나눠 봐야 한다. 주주환원은 VIII장에서 확정 숫자로 다시 푼다. 여기서는 4뉴스 묶음 당시의 성격만 정리한다.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뉴스</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성격</w:t>
            </w:r>
          </w:p>
        </w:tc>
        <w:tc>
          <w:tcPr>
            <w:tcW w:type="dxa" w:w="419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포인트</w:t>
            </w:r>
          </w:p>
        </w:tc>
      </w:tr>
      <w:tr>
        <w:trPr>
          <w:cantSplit/>
        </w:trPr>
        <w:tc>
          <w:tcPr>
            <w:tcW w:type="dxa" w:w="272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이사회 주주환원</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규모가 부각된 신규 / 당시엔 확정 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FCF 50%, 100조 원 이상(약 720억 달러) 거론, 특별배당 언급</w:t>
            </w:r>
          </w:p>
        </w:tc>
      </w:tr>
      <w:tr>
        <w:trPr>
          <w:cantSplit/>
        </w:trPr>
        <w:tc>
          <w:tcPr>
            <w:tcW w:type="dxa" w:w="272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온양 6조 원 HBM 팹 9월 착공</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방향의 구체화</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단순 DRAM이 아니라 HBM 후공정·패키징. 지방정부 도시계획 심의 조기 완료</w:t>
            </w:r>
          </w:p>
        </w:tc>
      </w:tr>
      <w:tr>
        <w:trPr>
          <w:cantSplit/>
        </w:trPr>
        <w:tc>
          <w:tcPr>
            <w:tcW w:type="dxa" w:w="272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Taylor Fab 2 장비 선제 인증</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흥미로운 신규 진전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공장 세부 사양 확정 전에 장비업체 인증을 요청. 최종 대량 발주와는 구분</w:t>
            </w:r>
          </w:p>
        </w:tc>
      </w:tr>
    </w:tbl>
    <w:p>
      <w:pPr>
        <w:spacing w:after="160" w:before="40"/>
      </w:pPr>
    </w:p>
    <w:p>
      <w:pPr>
        <w:spacing w:after="120" w:before="0" w:line="283" w:lineRule="auto"/>
        <w:jc w:val="left"/>
      </w:pPr>
      <w:r>
        <w:rPr>
          <w:rFonts w:ascii="맑은 고딕" w:hAnsi="맑은 고딕" w:eastAsia="맑은 고딕"/>
          <w:b w:val="0"/>
          <w:i w:val="0"/>
          <w:color w:val="1A1A1A"/>
          <w:sz w:val="22"/>
        </w:rPr>
        <w:t>반도체 장비는 보통 Fab 설계 확정 → 장비 specification 확정 → 인증 → 주문 → 설치 순이다. 삼성은 이 순서를 일부 앞당겨 인증을 먼저 진행하고 있다. Taylor Fab 2를 2026년 말까지 착공하고 2030년 양산을 목표로 한다는 7월 실적발표와 맞물리면, 실제로 빠르게 가겠다는 신호다. 다만 장비를 대규모로 최종 발주했다는 의미와는 구별해야 한다.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VIII.  </w:t>
      </w:r>
      <w:r>
        <w:rPr>
          <w:rFonts w:ascii="맑은 고딕" w:hAnsi="맑은 고딕" w:eastAsia="맑은 고딕"/>
          <w:b/>
          <w:i w:val="0"/>
          <w:color w:val="0F2043"/>
          <w:sz w:val="32"/>
        </w:rPr>
        <w:t>수출 통계와 주주환원 경쟁</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8월 1~20일 메모리 수출의 핵심은 DRAM 재폭등이 아니라 전체 +25.5%, Flash·MCP 급증이다.</w:t>
            </w:r>
          </w:p>
          <w:p>
            <w:pPr>
              <w:spacing w:after="20" w:before="0" w:line="276" w:lineRule="auto"/>
            </w:pPr>
            <w:r>
              <w:rPr>
                <w:rFonts w:ascii="맑은 고딕" w:hAnsi="맑은 고딕" w:eastAsia="맑은 고딕"/>
                <w:b w:val="0"/>
                <w:i w:val="0"/>
                <w:color w:val="1A1A1A"/>
                <w:sz w:val="21"/>
              </w:rPr>
              <w:t>삼성·하이닉스·마이크론이 같은 주 주주환원 경쟁에 들어갔다. 업사이클 현금을 주주와 나누는 단계다.</w:t>
            </w:r>
          </w:p>
        </w:tc>
      </w:tr>
    </w:tbl>
    <w:p>
      <w:pPr>
        <w:spacing w:after="120"/>
      </w:pPr>
    </w:p>
    <w:p>
      <w:pPr>
        <w:spacing w:before="200" w:after="80"/>
      </w:pPr>
      <w:r>
        <w:rPr>
          <w:rFonts w:ascii="맑은 고딕" w:hAnsi="맑은 고딕" w:eastAsia="맑은 고딕"/>
          <w:b/>
          <w:i w:val="0"/>
          <w:color w:val="1E407C"/>
          <w:sz w:val="26"/>
        </w:rPr>
        <w:t>1. 2026년 8월 1~20일 반도체 수출</w:t>
      </w:r>
    </w:p>
    <w:p>
      <w:pPr>
        <w:spacing w:after="120" w:before="0" w:line="283" w:lineRule="auto"/>
        <w:jc w:val="left"/>
      </w:pPr>
      <w:r>
        <w:rPr>
          <w:rFonts w:ascii="맑은 고딕" w:hAnsi="맑은 고딕" w:eastAsia="맑은 고딕"/>
          <w:b w:val="0"/>
          <w:i w:val="0"/>
          <w:color w:val="1A1A1A"/>
          <w:sz w:val="22"/>
        </w:rPr>
        <w:t>메모리 전체는 7월 동기 대비 오히려 더 강해졌다. 수출액은 전월 동기 대비 +25.5%, 수출단가는 +7.6%, 전년 대비 수출액은 +312.5%다. 물량만 늘어난 것이 아니라 가격도 다시 올랐다. 7월 메모리 단가가 전년 대비 +331.4%였는데, 8월에도 +264.1%라는 매우 높은 수준이다.</w:t>
      </w:r>
    </w:p>
    <w:p>
      <w:pPr>
        <w:spacing w:after="120" w:before="0" w:line="283" w:lineRule="auto"/>
        <w:jc w:val="left"/>
      </w:pPr>
      <w:r>
        <w:rPr>
          <w:rFonts w:ascii="맑은 고딕" w:hAnsi="맑은 고딕" w:eastAsia="맑은 고딕"/>
          <w:b w:val="0"/>
          <w:i w:val="0"/>
          <w:color w:val="1A1A1A"/>
          <w:sz w:val="22"/>
        </w:rPr>
        <w:t>DRAM만 보면 그림이 조금 다르다. 수출액 +11.8% MoM인데 단가는 −8.0%다. 8월 들어 가격 상승이 잠시 주춤하고, 물량 증가가 수출액 증가를 견인하는 모습이다. 그러나 이를 DRAM 가격 하락 전환으로 해석하기에는 이르다. 8월 단가 92,183달러는 전년 대비 +401%이고, 7월 1~20일 단가도 이미 100,198달러로 매우 높았다. 고점 대비 일부 조정에 가깝다.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MoM / 단가</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YoY</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읽기</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 전체</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+25.5% · 단가 +7.6%</w:t>
            </w:r>
          </w:p>
        </w:tc>
        <w:tc>
          <w:tcPr>
            <w:tcW w:type="dxa" w:w="272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수출액 +312.5%</w:t>
            </w:r>
          </w:p>
          <w:p>
            <w:pPr>
              <w:spacing w:before="0" w:after="0" w:line="269" w:lineRule="auto"/>
              <w:jc w:val="center"/>
            </w:pPr>
            <w:r>
              <w:rPr>
                <w:rFonts w:ascii="맑은 고딕" w:hAnsi="맑은 고딕" w:eastAsia="맑은 고딕"/>
                <w:b w:val="0"/>
                <w:i w:val="0"/>
                <w:color w:val="1A1A1A"/>
                <w:sz w:val="19"/>
              </w:rPr>
              <w:t>단가 +264.1% (7월 +331.4%)</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물량+가격. 사이클이 꺾인 신호 아님</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DRAM</w:t>
            </w:r>
          </w:p>
        </w:tc>
        <w:tc>
          <w:tcPr>
            <w:tcW w:type="dxa" w:w="317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수출액 +11.8% · 단가 −8.0%</w:t>
            </w:r>
          </w:p>
          <w:p>
            <w:pPr>
              <w:spacing w:before="0" w:after="0" w:line="269" w:lineRule="auto"/>
              <w:jc w:val="center"/>
            </w:pPr>
            <w:r>
              <w:rPr>
                <w:rFonts w:ascii="맑은 고딕" w:hAnsi="맑은 고딕" w:eastAsia="맑은 고딕"/>
                <w:b w:val="0"/>
                <w:i w:val="0"/>
                <w:color w:val="1A1A1A"/>
                <w:sz w:val="19"/>
              </w:rPr>
              <w:t>단가 $92,183</w:t>
            </w:r>
          </w:p>
        </w:tc>
        <w:tc>
          <w:tcPr>
            <w:tcW w:type="dxa" w:w="2721"/>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단가 +401%</w:t>
            </w:r>
          </w:p>
          <w:p>
            <w:pPr>
              <w:spacing w:before="0" w:after="0" w:line="269" w:lineRule="auto"/>
              <w:jc w:val="center"/>
            </w:pPr>
            <w:r>
              <w:rPr>
                <w:rFonts w:ascii="맑은 고딕" w:hAnsi="맑은 고딕" w:eastAsia="맑은 고딕"/>
                <w:b w:val="0"/>
                <w:i w:val="0"/>
                <w:color w:val="1A1A1A"/>
                <w:sz w:val="19"/>
              </w:rPr>
              <w:t>7월 1~20일 $100,198</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고점 대비 숨고르기</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Flash</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+80.7% · 단가 +75.3%</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단가 +502.5%</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강한 축</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MCP</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+45.5% · 단가 +19.4%</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6월에도 +50.9% MoM</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 포함 고부가 흐름</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DRAM 모듈</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수출액 −21.9% · 단가 −19.5%</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제품별 차별화의 반대편</w:t>
            </w:r>
          </w:p>
        </w:tc>
      </w:tr>
    </w:tbl>
    <w:p>
      <w:pPr>
        <w:spacing w:after="160" w:before="40"/>
      </w:pPr>
    </w:p>
    <w:p>
      <w:pPr>
        <w:spacing w:after="120" w:before="0" w:line="283" w:lineRule="auto"/>
        <w:jc w:val="left"/>
      </w:pPr>
      <w:r>
        <w:rPr>
          <w:rFonts w:ascii="맑은 고딕" w:hAnsi="맑은 고딕" w:eastAsia="맑은 고딕"/>
          <w:b w:val="0"/>
          <w:i w:val="0"/>
          <w:color w:val="1A1A1A"/>
          <w:sz w:val="22"/>
        </w:rPr>
        <w:t>정리하면 ① MCP/HBM 계열과 Flash 강세 ② 메모리 전체 가격 상승 ③ DRAM 가격 조정 ④ 모듈 감소다. 8월 반도체 수출은 “DRAM 가격이 다시 폭등했다”가 핵심이 아니다. 메모리 전체 수출액이 7월 동기 대비 +25.5% 증가하고 Flash·MCP의 가격과 수출액이 급증한 것이 핵심이다. 메모리 단가 +7.6% MoM은 긍정적이다. 가격 상승 사이클이 꺾였다는 신호보다는, DRAM은 잠시 숨고 강세가 HBM/MCP·NAND 쪽으로 확산되는 모습이다.</w:t>
      </w:r>
    </w:p>
    <w:p>
      <w:pPr>
        <w:spacing w:before="200" w:after="80"/>
      </w:pPr>
      <w:r>
        <w:rPr>
          <w:rFonts w:ascii="맑은 고딕" w:hAnsi="맑은 고딕" w:eastAsia="맑은 고딕"/>
          <w:b/>
          <w:i w:val="0"/>
          <w:color w:val="1E407C"/>
          <w:sz w:val="26"/>
        </w:rPr>
        <w:t>2. 삼성전자 주주환원 — 조정 FCF의 50%</w:t>
      </w:r>
    </w:p>
    <w:p>
      <w:pPr>
        <w:spacing w:after="120" w:before="0" w:line="283" w:lineRule="auto"/>
        <w:jc w:val="left"/>
      </w:pPr>
      <w:r>
        <w:rPr>
          <w:rFonts w:ascii="맑은 고딕" w:hAnsi="맑은 고딕" w:eastAsia="맑은 고딕"/>
          <w:b w:val="0"/>
          <w:i w:val="0"/>
          <w:color w:val="1A1A1A"/>
          <w:sz w:val="22"/>
        </w:rPr>
        <w:t>확정된 골격은 이렇다. 2026년 주주환원 90~110조 원, 2024~2026년 3년 누적 120~140조 원. 3년간 FCF의 50%를 환원하는 정책을 이행한다. 3분기 정규배당을 포함한 현금배당 약 30조 원은 10월 말 확정하고, 나머지 60~80조 원은 추가 현금배당과 자사주 매입·소각으로 2027년 1월 확정한다. 임직원 보상용 자사주 약 15조 원은 별도다.</w:t>
      </w:r>
    </w:p>
    <w:p>
      <w:pPr>
        <w:spacing w:after="120" w:before="0" w:line="283" w:lineRule="auto"/>
        <w:jc w:val="left"/>
      </w:pPr>
      <w:r>
        <w:rPr>
          <w:rFonts w:ascii="맑은 고딕" w:hAnsi="맑은 고딕" w:eastAsia="맑은 고딕"/>
          <w:b w:val="0"/>
          <w:i w:val="0"/>
          <w:color w:val="1A1A1A"/>
          <w:sz w:val="22"/>
        </w:rPr>
        <w:t>시장이 헷갈리는 지점은 ‘조정 FCF’다. 일반적인 FCF는 영업현금흐름 − CAPEX, 또는 영업이익(세후) + 감가상각 − CAPEX − 운전자본 증가에 가깝다. 삼성전자는 3년 누적 FCF에서 LTA 선수금과 임직원 성과급 관련 주식보상 지출액을 추가로 뺀다. 조정 FCF = 기본 FCF − LTA 선수금 − 임직원 성과급 관련 금액이다. 고객이 “앞으로 3년 메모리 100조 원어치를 살 테니 10조 원을 미리 주겠다”고 하면 회계상 현금은 +10조 원이지만, 이미 벌어들인 이익이 아니라 미래 매출의 선입금이다. 그래서 환원 재원에서 제외한다. 개념 예(실제 수치 아님)로 영업현금 200조 − CAPEX 80조 = 기본 FCF 120조에서 선수금 10조와 성과급 5조를 빼면 조정 FCF 105조, 50% 환원 기준은 60조가 아니라 52.5조가 된다.</w:t>
      </w:r>
    </w:p>
    <w:p>
      <w:pPr>
        <w:spacing w:after="120" w:before="0" w:line="283" w:lineRule="auto"/>
        <w:jc w:val="left"/>
      </w:pPr>
      <w:r>
        <w:rPr>
          <w:rFonts w:ascii="맑은 고딕" w:hAnsi="맑은 고딕" w:eastAsia="맑은 고딕"/>
          <w:b w:val="0"/>
          <w:i w:val="0"/>
          <w:color w:val="1A1A1A"/>
          <w:sz w:val="22"/>
        </w:rPr>
        <w:t>공식 구조는 “3년 누적 FCF의 50%에서 2024~25년 이미 환원한 29.3조 원을 차감”하는 방식이다. 추가 환원 하단 90조 + 이미 환원 29.3조 = 119.3조 → 함의 3년 FCF 238.6조. 상단 110조 + 29.3조 = 139.3조 → 함의 3년 FCF 278.6조다.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계산</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하단 90조</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상단 110조</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이미 환원 29.3조를 포함한 3년 FCF의 50%</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119.3조</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139.3조</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함의 3년 누적 FCF</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238.6조</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278.6조</w:t>
            </w:r>
          </w:p>
        </w:tc>
      </w:tr>
    </w:tbl>
    <w:p>
      <w:pPr>
        <w:spacing w:after="160" w:before="40"/>
      </w:pPr>
    </w:p>
    <w:p>
      <w:pPr>
        <w:spacing w:after="120" w:before="0" w:line="283" w:lineRule="auto"/>
        <w:jc w:val="left"/>
      </w:pPr>
      <w:r>
        <w:rPr>
          <w:rFonts w:ascii="맑은 고딕" w:hAnsi="맑은 고딕" w:eastAsia="맑은 고딕"/>
          <w:b w:val="0"/>
          <w:i w:val="0"/>
          <w:color w:val="1A1A1A"/>
          <w:sz w:val="22"/>
        </w:rPr>
        <w:t>시장 단순 합은 2024년 FCF 약 22조 + 2025년 약 33조 + 2026년 237~285조 = 누적 291~340조, 50%면 145~170조, 기환원 29.3조를 빼면 추가 환원 가능액 약 116~141조다. 회사가 제시한 90~110조와 약 35~55조 차이가 난다. 그 간극이 LTA 선수금과 성과급 조정이다. 일부 시장 전망의 2026년 FCF 236~285조를 그대로 더하면 상단이 110조와 비슷해지기도 한다.</w:t>
      </w:r>
    </w:p>
    <w:p>
      <w:pPr>
        <w:spacing w:before="160" w:after="60"/>
      </w:pPr>
      <w:r>
        <w:rPr>
          <w:rFonts w:ascii="맑은 고딕" w:hAnsi="맑은 고딕" w:eastAsia="맑은 고딕"/>
          <w:b/>
          <w:i w:val="0"/>
          <w:color w:val="0F2043"/>
          <w:sz w:val="23"/>
        </w:rPr>
        <w:t>주가와의 관계 (8/21 시총 1,812조 원, 우선주 포함)</w:t>
      </w:r>
    </w:p>
    <w:p>
      <w:pPr>
        <w:spacing w:after="120" w:before="0" w:line="283" w:lineRule="auto"/>
        <w:jc w:val="left"/>
      </w:pPr>
      <w:r>
        <w:rPr>
          <w:rFonts w:ascii="맑은 고딕" w:hAnsi="맑은 고딕" w:eastAsia="맑은 고딕"/>
          <w:b w:val="0"/>
          <w:i w:val="0"/>
          <w:color w:val="1A1A1A"/>
          <w:sz w:val="22"/>
        </w:rPr>
        <w:t>상단 110조 원의 50%를 성장으로 보고 2027년 환원으로 가정하면 시총 대비 약 +9% 효과다. 8/20~21 주가는 이미 +13.7% 올랐다. 기본 FCF대로, 2027년 영업이익 350조 원(컨센서스보다 보수)을 기준으로 보면 환원 가능 금액 192조 원(자사주 매입·소각 40조 포함)은 시총의 15%다. 8/20~21 누적 +15% 상승과 대체로 맞는다.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가정</w:t>
            </w:r>
          </w:p>
        </w:tc>
        <w:tc>
          <w:tcPr>
            <w:tcW w:type="dxa" w:w="54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함의</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기본 FCF + 이익 상향</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상승 여력</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LTA 등 차감, 그러나 이익 추정이 보수</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서로 상쇄. 현 주가는 타당</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LTA 등 차감 + 이익 상향 여지 없음</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상향은 기다려야 할 수도</w:t>
            </w:r>
          </w:p>
        </w:tc>
      </w:tr>
    </w:tbl>
    <w:p>
      <w:pPr>
        <w:spacing w:after="160" w:before="40"/>
      </w:pPr>
    </w:p>
    <w:p>
      <w:pPr>
        <w:spacing w:after="120" w:before="0" w:line="283" w:lineRule="auto"/>
        <w:jc w:val="left"/>
      </w:pPr>
      <w:r>
        <w:rPr>
          <w:rFonts w:ascii="맑은 고딕" w:hAnsi="맑은 고딕" w:eastAsia="맑은 고딕"/>
          <w:b w:val="0"/>
          <w:i w:val="0"/>
          <w:color w:val="1A1A1A"/>
          <w:sz w:val="22"/>
        </w:rPr>
        <w:t>하이닉스가 누적 FCF의 50% 이상 환원에서 삼성처럼 선수금 등을 차감하는지는 지난 주주환원 발표에서 밝혀지지 않았다. 이 차이는 앞으로 두 회사 환원액을 비교할 때 남겨 둘 변수다.</w:t>
      </w:r>
    </w:p>
    <w:p>
      <w:pPr>
        <w:spacing w:before="200" w:after="80"/>
      </w:pPr>
      <w:r>
        <w:rPr>
          <w:rFonts w:ascii="맑은 고딕" w:hAnsi="맑은 고딕" w:eastAsia="맑은 고딕"/>
          <w:b/>
          <w:i w:val="0"/>
          <w:color w:val="1E407C"/>
          <w:sz w:val="26"/>
        </w:rPr>
        <w:t>3. SK하이닉스 — 40조 원 + FCF 50% 초과, 추가분은 3분기</w:t>
      </w:r>
    </w:p>
    <w:p>
      <w:pPr>
        <w:spacing w:after="120" w:before="0" w:line="283" w:lineRule="auto"/>
        <w:jc w:val="left"/>
      </w:pPr>
      <w:r>
        <w:rPr>
          <w:rFonts w:ascii="맑은 고딕" w:hAnsi="맑은 고딕" w:eastAsia="맑은 고딕"/>
          <w:b w:val="0"/>
          <w:i w:val="0"/>
          <w:color w:val="1A1A1A"/>
          <w:sz w:val="22"/>
        </w:rPr>
        <w:t>8월 20일부터 11월 19일까지 40조 원 자사주 매입 후 소각한다. 시총의 약 3.3%다. ADR 발행으로 희석된 지분율을 자사주 매입·소각으로 되돌려, SK스퀘어 지분율을 ADR 발행 이전 수준에 가깝게 만드는 구조다. 여기에 향후 누적 FCF의 50% 이상과 특별배당 가능성까지 열어 두었다. 2항과 3항의 규모 확대 가능성을 얼마나 반영하느냐에 따라 상승폭이 갈린다. 직관적으로는 +5~9% 사이다.</w:t>
      </w:r>
    </w:p>
    <w:p>
      <w:pPr>
        <w:spacing w:after="120" w:before="0" w:line="283" w:lineRule="auto"/>
        <w:jc w:val="left"/>
      </w:pPr>
      <w:r>
        <w:rPr>
          <w:rFonts w:ascii="맑은 고딕" w:hAnsi="맑은 고딕" w:eastAsia="맑은 고딕"/>
          <w:b w:val="0"/>
          <w:i w:val="0"/>
          <w:color w:val="1A1A1A"/>
          <w:sz w:val="22"/>
        </w:rPr>
        <w:t>운전자본과 기타 현금비용을 보수적으로 20~30조 원씩 더 뺀다고 가정하면 기존 계산 179 / 242 / 237조에서 보수적 FCF 약 150 / 210 / 205조, 3년 누적 약 565조가 아니라 더 보수적으로 2025~2027년 누적 FCF 약 385조로 잡을 수 있다. 385조의 50%는 192.5조 원이다. 이 192.5조는 2027년에 반드시 한 번에 지급한다는 뜻이 아니다. 2025~2027년 프로그램 기간 동안 192.5조 원 이상을 환원한다는 뜻이다. 이미 발표한 40조 원을 빼면 추가로 약 152.5조 원 이상이 필요하다. 회사는 50%가 아니라 ‘50% 초과’로 목표를 올렸고, 추가 자사주·현금배당·특별배당을 검토한다고 밝혔다. 구체 규모는 3Q26 실적 발표 때 결정한다.</w:t>
      </w:r>
    </w:p>
    <w:p>
      <w:pPr>
        <w:spacing w:after="120" w:before="0" w:line="283" w:lineRule="auto"/>
        <w:jc w:val="left"/>
      </w:pPr>
      <w:r>
        <w:rPr>
          <w:rFonts w:ascii="맑은 고딕" w:hAnsi="맑은 고딕" w:eastAsia="맑은 고딕"/>
          <w:b w:val="0"/>
          <w:i w:val="0"/>
          <w:color w:val="1A1A1A"/>
          <w:sz w:val="22"/>
        </w:rPr>
        <w:t>모델에서 2028년 102.5조 같은 숫자는 회사 정책상 2028년 환원액이 아니다. FCF의 50%를 적용해 본 참고치다. 2028년 정책은 별도로 나와야 한다. 오늘 발표만으로 2028년에도 FCF의 50%를 환원한다고 볼 수는 없다.</w:t>
      </w:r>
    </w:p>
    <w:p>
      <w:pPr>
        <w:spacing w:before="200" w:after="80"/>
      </w:pPr>
      <w:r>
        <w:rPr>
          <w:rFonts w:ascii="맑은 고딕" w:hAnsi="맑은 고딕" w:eastAsia="맑은 고딕"/>
          <w:b/>
          <w:i w:val="0"/>
          <w:color w:val="1E407C"/>
          <w:sz w:val="26"/>
        </w:rPr>
        <w:t>4. 마이크론 — 12월 9일 이후</w:t>
      </w:r>
    </w:p>
    <w:p>
      <w:pPr>
        <w:spacing w:after="120" w:before="0" w:line="283" w:lineRule="auto"/>
        <w:jc w:val="left"/>
      </w:pPr>
      <w:r>
        <w:rPr>
          <w:rFonts w:ascii="맑은 고딕" w:hAnsi="맑은 고딕" w:eastAsia="맑은 고딕"/>
          <w:b w:val="0"/>
          <w:i w:val="0"/>
          <w:color w:val="1A1A1A"/>
          <w:sz w:val="22"/>
        </w:rPr>
        <w:t>II장에서 서술한 대로, CHIPS Act 자사주 제한이 12월 9일 끝나고 UBS는 2027~28년 누적 FCF 약 3,800억 달러의 상당 부분을 바이백에 쓸 수 있다고 본다. 메모리 3사가 같은 주 환원 경쟁에 들어간 셈이다.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IX.  </w:t>
      </w:r>
      <w:r>
        <w:rPr>
          <w:rFonts w:ascii="맑은 고딕" w:hAnsi="맑은 고딕" w:eastAsia="맑은 고딕"/>
          <w:b/>
          <w:i w:val="0"/>
          <w:color w:val="0F2043"/>
          <w:sz w:val="32"/>
        </w:rPr>
        <w:t>효율화와 자체칩 — Meta, Anthropic, Waymo</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수요가 넘치는 동시에, 쓰는 쪽은 효율화와 자체칩으로 단가를 낮추려 한다. 모순이 아니라 같은 사이클의 양면이다.</w:t>
            </w:r>
          </w:p>
          <w:p>
            <w:pPr>
              <w:spacing w:after="20" w:before="0" w:line="276" w:lineRule="auto"/>
            </w:pPr>
            <w:r>
              <w:rPr>
                <w:rFonts w:ascii="맑은 고딕" w:hAnsi="맑은 고딕" w:eastAsia="맑은 고딕"/>
                <w:b w:val="0"/>
                <w:i w:val="0"/>
                <w:color w:val="1A1A1A"/>
                <w:sz w:val="21"/>
              </w:rPr>
              <w:t>Meta DDR4+CXL은 HBM 대체가 아니다. Anthropic 자체칩은 Nvidia 대체가 아니라 멀티칩의 추가 축이다.</w:t>
            </w:r>
          </w:p>
        </w:tc>
      </w:tr>
    </w:tbl>
    <w:p>
      <w:pPr>
        <w:spacing w:after="120"/>
      </w:pPr>
    </w:p>
    <w:p>
      <w:pPr>
        <w:spacing w:before="200" w:after="80"/>
      </w:pPr>
      <w:r>
        <w:rPr>
          <w:rFonts w:ascii="맑은 고딕" w:hAnsi="맑은 고딕" w:eastAsia="맑은 고딕"/>
          <w:b/>
          <w:i w:val="0"/>
          <w:color w:val="1E407C"/>
          <w:sz w:val="26"/>
        </w:rPr>
        <w:t>1. Meta — 더 많이 사기에서 더 잘 쓰기로</w:t>
      </w:r>
    </w:p>
    <w:p>
      <w:pPr>
        <w:spacing w:after="120" w:before="0" w:line="283" w:lineRule="auto"/>
        <w:jc w:val="left"/>
      </w:pPr>
      <w:r>
        <w:rPr>
          <w:rFonts w:ascii="맑은 고딕" w:hAnsi="맑은 고딕" w:eastAsia="맑은 고딕"/>
          <w:b w:val="0"/>
          <w:i w:val="0"/>
          <w:color w:val="1A1A1A"/>
          <w:sz w:val="22"/>
        </w:rPr>
        <w:t>헤드라인은 “Meta Thinks Outside The Box With Memory”다. DRAM 가격 상승과 서버 TCO에서 메모리가 차지하는 비중이 커지자, Meta는 더 많이 사는 대신 더 효율적으로 쓰는 쪽으로 전략을 바꿨다. HBM 수요 증가로 DRAM 웨이퍼가 HBM으로 이동하고 일반 DDR5 가격도 오른다. Meta는 신규 DDR5만 추가하는 대신 퇴역 서버의 DDR4를 재활용하고, 자체 Vistara CXL 2.0 ASIC으로 구형 DDR4를 신형 DDR5 서버에 연결한다.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구성</w:t>
            </w:r>
          </w:p>
        </w:tc>
        <w:tc>
          <w:tcPr>
            <w:tcW w:type="dxa" w:w="7143"/>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스펙</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로컬 메모리</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DDR5-6400 768GB</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CXL 메모리</w:t>
            </w:r>
          </w:p>
        </w:tc>
        <w:tc>
          <w:tcPr>
            <w:tcW w:type="dxa" w:w="71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DDR4-2400 256GB</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서버당 합계</w:t>
            </w:r>
          </w:p>
        </w:tc>
        <w:tc>
          <w:tcPr>
            <w:tcW w:type="dxa" w:w="71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1TB</w:t>
            </w:r>
          </w:p>
        </w:tc>
      </w:tr>
    </w:tbl>
    <w:p>
      <w:pPr>
        <w:spacing w:after="160" w:before="40"/>
      </w:pPr>
    </w:p>
    <w:p>
      <w:pPr>
        <w:spacing w:after="120" w:before="0" w:line="283" w:lineRule="auto"/>
        <w:jc w:val="left"/>
      </w:pPr>
      <w:r>
        <w:rPr>
          <w:rFonts w:ascii="맑은 고딕" w:hAnsi="맑은 고딕" w:eastAsia="맑은 고딕"/>
          <w:b w:val="0"/>
          <w:i w:val="0"/>
          <w:color w:val="1A1A1A"/>
          <w:sz w:val="22"/>
        </w:rPr>
        <w:t>왜 이 구조인가. Meta 서버의 43.7%가 CPU나 다른 자원보다 먼저 메모리가 부족하다. 메모리가 부족해 CPU가 놀게 되면, 새 서버를 추가하는 대신 메모리만 확장하는 편이 낫다. DDR4를 기존 서버에서 회수해 재사용하면 서버 전체 메모리의 20~30%까지 담당할 수 있고, 일부 ML inference 환경에서는 서버 수를 최대 25% 줄일 수 있다. 이미 사 둔 CPU·서버 자산의 활용도도 좋아진다. 핵심은 비싼 DDR5를 무조건 늘리는 대신, 빠른 DDR5와 저렴한 DDR4(CXL)의 계층형 메모리 구조다.</w:t>
      </w:r>
    </w:p>
    <w:p>
      <w:pPr>
        <w:spacing w:after="120" w:before="0" w:line="283" w:lineRule="auto"/>
        <w:jc w:val="left"/>
      </w:pPr>
      <w:r>
        <w:rPr>
          <w:rFonts w:ascii="맑은 고딕" w:hAnsi="맑은 고딕" w:eastAsia="맑은 고딕"/>
          <w:b w:val="0"/>
          <w:i w:val="0"/>
          <w:color w:val="1A1A1A"/>
          <w:sz w:val="22"/>
        </w:rPr>
        <w:t>메모리 비용이 Meta에 중요한 이유는 숫자로 분명하다. 메모리는 랙 전력의 최대 약 25%, 컴퓨트 서버 TCO의 최대 44%를 차지한다. 더 중요한 변화는 서버 수명 연장이다. 서버를 폐기하고 새로 사는 대신, 수명을 늘리고 DDR4를 회수하며 CXL로 계층화한다.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기존</w:t>
            </w:r>
          </w:p>
        </w:tc>
        <w:tc>
          <w:tcPr>
            <w:tcW w:type="dxa" w:w="36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변경</w:t>
            </w:r>
          </w:p>
        </w:tc>
      </w:tr>
      <w:tr>
        <w:trPr>
          <w:cantSplit/>
        </w:trPr>
        <w:tc>
          <w:tcPr>
            <w:tcW w:type="dxa" w:w="28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서버 내용연수</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4~5년</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5.5년</w:t>
            </w:r>
          </w:p>
        </w:tc>
      </w:tr>
      <w:tr>
        <w:trPr>
          <w:cantSplit/>
        </w:trPr>
        <w:tc>
          <w:tcPr>
            <w:tcW w:type="dxa" w:w="28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Vistara 논문 수명</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3~5년</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5~7년</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삼성전자·SK하이닉스 관점</w:t>
            </w:r>
          </w:p>
          <w:p>
            <w:pPr>
              <w:spacing w:after="20" w:before="0" w:line="276" w:lineRule="auto"/>
            </w:pPr>
            <w:r>
              <w:rPr>
                <w:rFonts w:ascii="맑은 고딕" w:hAnsi="맑은 고딕" w:eastAsia="맑은 고딕"/>
                <w:b w:val="0"/>
                <w:i w:val="0"/>
                <w:color w:val="1A1A1A"/>
                <w:sz w:val="21"/>
              </w:rPr>
              <w:t>단기적으로 HBM에는 큰 위협이 아니다. DDR4 재활용은 HBM을 DDR4로 대체하는 전략이 아니라, 범용 CPU 서버의 메모리 비용 절감이다.</w:t>
            </w:r>
          </w:p>
          <w:p>
            <w:pPr>
              <w:spacing w:after="20" w:before="0" w:line="276" w:lineRule="auto"/>
            </w:pPr>
            <w:r>
              <w:rPr>
                <w:rFonts w:ascii="맑은 고딕" w:hAnsi="맑은 고딕" w:eastAsia="맑은 고딕"/>
                <w:b w:val="0"/>
                <w:i w:val="0"/>
                <w:color w:val="1A1A1A"/>
                <w:sz w:val="21"/>
              </w:rPr>
              <w:t>AI GPU 서버의 HBM 수요는 지속되고, 범용 CPU 서버는 DDR5 + DDR4(CXL) 혼용이 확대된다.</w:t>
            </w:r>
          </w:p>
          <w:p>
            <w:pPr>
              <w:spacing w:after="20" w:before="0" w:line="276" w:lineRule="auto"/>
            </w:pPr>
            <w:r>
              <w:rPr>
                <w:rFonts w:ascii="맑은 고딕" w:hAnsi="맑은 고딕" w:eastAsia="맑은 고딕"/>
                <w:b w:val="0"/>
                <w:i w:val="0"/>
                <w:color w:val="1A1A1A"/>
                <w:sz w:val="21"/>
              </w:rPr>
              <w:t>일반 DRAM은 장기적으로 서버당 신규 DRAM 수요 증가 속도에 부담이 될 수 있다. CXL은 장기 아키텍처의 핵심 후보가 될 수 있다.</w:t>
            </w:r>
          </w:p>
          <w:p>
            <w:pPr>
              <w:spacing w:after="20" w:before="0" w:line="276" w:lineRule="auto"/>
            </w:pPr>
            <w:r>
              <w:rPr>
                <w:rFonts w:ascii="맑은 고딕" w:hAnsi="맑은 고딕" w:eastAsia="맑은 고딕"/>
                <w:b w:val="0"/>
                <w:i w:val="0"/>
                <w:color w:val="1A1A1A"/>
                <w:sz w:val="21"/>
              </w:rPr>
              <w:t>문장이 바뀐다. “서버당 DRAM을 계속 많이 넣는다” → “메모리를 효율적으로 쓴다”.</w:t>
            </w:r>
          </w:p>
        </w:tc>
      </w:tr>
    </w:tbl>
    <w:p>
      <w:pPr>
        <w:spacing w:after="120"/>
      </w:pPr>
    </w:p>
    <w:p>
      <w:pPr>
        <w:spacing w:after="120" w:before="0" w:line="283" w:lineRule="auto"/>
        <w:jc w:val="left"/>
      </w:pPr>
      <w:r>
        <w:rPr>
          <w:rFonts w:ascii="맑은 고딕" w:hAnsi="맑은 고딕" w:eastAsia="맑은 고딕"/>
          <w:b w:val="0"/>
          <w:i w:val="0"/>
          <w:color w:val="1A1A1A"/>
          <w:sz w:val="22"/>
        </w:rPr>
        <w:t>투자자에게는 양날이다. Meta는 이익이 늘어도 현금창출력이 급감했다. 성장용 CAPEX 증가 때문이라고 설명하지만, 유지보수 CAPEX와 성장 CAPEX를 더 구체적으로 공개할 필요가 있다는 지적이 있다.</w:t>
      </w:r>
    </w:p>
    <w:p>
      <w:pPr>
        <w:spacing w:before="200" w:after="80"/>
      </w:pPr>
      <w:r>
        <w:rPr>
          <w:rFonts w:ascii="맑은 고딕" w:hAnsi="맑은 고딕" w:eastAsia="맑은 고딕"/>
          <w:b/>
          <w:i w:val="0"/>
          <w:color w:val="1E407C"/>
          <w:sz w:val="26"/>
        </w:rPr>
        <w:t>2. Anthropic — Amir Salek과 자체 ASIC</w:t>
      </w:r>
    </w:p>
    <w:p>
      <w:pPr>
        <w:spacing w:after="120" w:before="0" w:line="283" w:lineRule="auto"/>
        <w:jc w:val="left"/>
      </w:pPr>
      <w:r>
        <w:rPr>
          <w:rFonts w:ascii="맑은 고딕" w:hAnsi="맑은 고딕" w:eastAsia="맑은 고딕"/>
          <w:b w:val="0"/>
          <w:i w:val="0"/>
          <w:color w:val="1A1A1A"/>
          <w:sz w:val="22"/>
        </w:rPr>
        <w:t>Anthropic이 전 Google 칩 개발자 Amir Salek을 영입한 것은 자체 AI칩 개발을 본격화한다는 강한 신호다. Salek은 Google TPU 프로그램의 창립자·책임자로, 2013~2022년 TPU 개발을 주도했고 Google 데이터센터에 들어간 TPU 초기 7세대에 관여했다. 그 전에는 Nvidia에서 약 8년 근무하며 SoC 조직을 창립·확대했다. Google에서 검증된 ‘AI ASIC 개발 → 데이터센터 적용’ 경험을 통째로 확보하는 셈이다. TPU가 범용 GPU가 아니라 AI 연산에 최적화된 전용 가속기라는 점에서 Anthropic의 방향과 맞다.</w:t>
      </w:r>
    </w:p>
    <w:p>
      <w:pPr>
        <w:spacing w:after="120" w:before="0" w:line="283" w:lineRule="auto"/>
      </w:pPr>
      <w:r>
        <w:rPr>
          <w:rFonts w:ascii="맑은 고딕" w:hAnsi="맑은 고딕" w:eastAsia="맑은 고딕"/>
          <w:b/>
          <w:i w:val="0"/>
          <w:color w:val="1A1A1A"/>
          <w:sz w:val="22"/>
        </w:rPr>
        <w:t xml:space="preserve">기존:  </w:t>
      </w:r>
      <w:r>
        <w:rPr>
          <w:rFonts w:ascii="맑은 고딕" w:hAnsi="맑은 고딕" w:eastAsia="맑은 고딕"/>
          <w:b w:val="0"/>
          <w:i w:val="0"/>
          <w:color w:val="1A1A1A"/>
          <w:sz w:val="22"/>
        </w:rPr>
        <w:t>Nvidia GPU + Google TPU + AWS Trainium으로 외부 가속기를 조합해 Claude를 학습·추론</w:t>
      </w:r>
    </w:p>
    <w:p>
      <w:pPr>
        <w:spacing w:after="120" w:before="0" w:line="283" w:lineRule="auto"/>
      </w:pPr>
      <w:r>
        <w:rPr>
          <w:rFonts w:ascii="맑은 고딕" w:hAnsi="맑은 고딕" w:eastAsia="맑은 고딕"/>
          <w:b/>
          <w:i w:val="0"/>
          <w:color w:val="0F2043"/>
          <w:sz w:val="22"/>
        </w:rPr>
        <w:t xml:space="preserve">앞으로:  </w:t>
      </w:r>
      <w:r>
        <w:rPr>
          <w:rFonts w:ascii="맑은 고딕" w:hAnsi="맑은 고딕" w:eastAsia="맑은 고딕"/>
          <w:b w:val="0"/>
          <w:i w:val="0"/>
          <w:color w:val="1A1A1A"/>
          <w:sz w:val="22"/>
        </w:rPr>
        <w:t>외부 가속기 + 자체 AI ASIC. 공급망 다변화와 Claude 워크로드 최적화</w:t>
      </w:r>
    </w:p>
    <w:p>
      <w:pPr>
        <w:spacing w:after="120" w:before="0" w:line="283" w:lineRule="auto"/>
        <w:jc w:val="left"/>
      </w:pPr>
      <w:r>
        <w:rPr>
          <w:rFonts w:ascii="맑은 고딕" w:hAnsi="맑은 고딕" w:eastAsia="맑은 고딕"/>
          <w:b w:val="0"/>
          <w:i w:val="0"/>
          <w:color w:val="1A1A1A"/>
          <w:sz w:val="22"/>
        </w:rPr>
        <w:t>목표는 Nvidia를 당장 대체하는 것이 아니다. ① Compute 공급 확보 ② 추론 비용 절감 ③ 전력 효율 개선 ④ Nvidia 의존도 완화로 보는 것이 합리적이다. Anthropic은 이미 Google/Broadcom과 2027년부터 복수 GW 규모 차세대 TPU capacity를 확보하고 있다. 자체칩은 기존 TPU를 대체한다기보다 멀티칩 전략의 추가 축이다.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더 큰 변화</w:t>
            </w:r>
          </w:p>
          <w:p>
            <w:pPr>
              <w:spacing w:after="20" w:before="0" w:line="276" w:lineRule="auto"/>
            </w:pPr>
            <w:r>
              <w:rPr>
                <w:rFonts w:ascii="맑은 고딕" w:hAnsi="맑은 고딕" w:eastAsia="맑은 고딕"/>
                <w:b w:val="0"/>
                <w:i w:val="0"/>
                <w:color w:val="1A1A1A"/>
                <w:sz w:val="21"/>
              </w:rPr>
              <w:t>AI 모델 경쟁이 AI 모델 + Compute 경쟁으로 바뀌고 있다.</w:t>
            </w:r>
          </w:p>
          <w:p>
            <w:pPr>
              <w:spacing w:after="20" w:before="0" w:line="276" w:lineRule="auto"/>
            </w:pPr>
            <w:r>
              <w:rPr>
                <w:rFonts w:ascii="맑은 고딕" w:hAnsi="맑은 고딕" w:eastAsia="맑은 고딕"/>
                <w:b w:val="0"/>
                <w:i w:val="0"/>
                <w:color w:val="1A1A1A"/>
                <w:sz w:val="21"/>
              </w:rPr>
              <w:t>더 좋은 Claude만이 아니라, Claude를 더 싸고 효율적으로 돌릴 Compute를 직접 설계하는 단계다.</w:t>
            </w:r>
          </w:p>
          <w:p>
            <w:pPr>
              <w:spacing w:after="20" w:before="0" w:line="276" w:lineRule="auto"/>
            </w:pPr>
            <w:r>
              <w:rPr>
                <w:rFonts w:ascii="맑은 고딕" w:hAnsi="맑은 고딕" w:eastAsia="맑은 고딕"/>
                <w:b w:val="0"/>
                <w:i w:val="0"/>
                <w:color w:val="1A1A1A"/>
                <w:sz w:val="21"/>
              </w:rPr>
              <w:t>OpenAI도 같은 구도다. 모델 회사의 자체 ASIC 확산이다.</w:t>
            </w:r>
          </w:p>
        </w:tc>
      </w:tr>
    </w:tbl>
    <w:p>
      <w:pPr>
        <w:spacing w:after="120"/>
      </w:pPr>
    </w:p>
    <w:p>
      <w:pPr>
        <w:spacing w:before="200" w:after="80"/>
      </w:pPr>
      <w:r>
        <w:rPr>
          <w:rFonts w:ascii="맑은 고딕" w:hAnsi="맑은 고딕" w:eastAsia="맑은 고딕"/>
          <w:b/>
          <w:i w:val="0"/>
          <w:color w:val="1E407C"/>
          <w:sz w:val="26"/>
        </w:rPr>
        <w:t>3. Waymo — 바퀴 달린 데이터센터</w:t>
      </w:r>
    </w:p>
    <w:p>
      <w:pPr>
        <w:spacing w:after="120" w:before="0" w:line="283" w:lineRule="auto"/>
        <w:jc w:val="left"/>
      </w:pPr>
      <w:r>
        <w:rPr>
          <w:rFonts w:ascii="맑은 고딕" w:hAnsi="맑은 고딕" w:eastAsia="맑은 고딕"/>
          <w:b w:val="0"/>
          <w:i w:val="0"/>
          <w:color w:val="1A1A1A"/>
          <w:sz w:val="22"/>
        </w:rPr>
        <w:t>Waymo가 만든 것은 단순한 자율주행 소프트웨어가 아니다. 차량 안에서 실시간으로 돌아가는 AI 컴퓨팅 플랫폼 전체를 직접 설계하고 있다. CPU·GPU·ASIC·DRAM·스토리지까지 포함한 차량용 AI 컴퓨팅 시스템으로 진화하고 있다는 신호다. 장기적으로 자동차의 반도체 탑재량 증가에 긍정적이다.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자체 5nm ASIC: LiDAR·Radar·Camera의 방대한 원시 데이터를 ML 모델에 넣기 전 차량 내부에서 실시간 전처리. 저조도 인식, 센서 융합, 처리 효율.</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이종 컴퓨팅: CPU는 오케스트레이션·데이터 이동·로깅, GPU/가속기는 AI/ML 연산, Custom ASIC은 센서 원시 데이터. 하나의 칩으로 모든 것을 처리하지 않는다.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데이터센터와 다른 제약: ultra-low latency, redundancy, ruggedization. 사고가 나면 안 되므로 성능뿐 아니라 고장 내성과 실시간성이 필수다.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공개 파트너: AMD(CPU), NVIDIA(GPU), Micron(메모리), Samsung(메모리/반도체), SanDisk(저장장치), Socionext(SoC/ASIC), TSMC(제조).</w:t>
      </w:r>
    </w:p>
    <w:p>
      <w:pPr>
        <w:spacing w:after="120" w:before="0" w:line="283" w:lineRule="auto"/>
        <w:jc w:val="left"/>
      </w:pPr>
      <w:r>
        <w:rPr>
          <w:rFonts w:ascii="맑은 고딕" w:hAnsi="맑은 고딕" w:eastAsia="맑은 고딕"/>
          <w:b w:val="0"/>
          <w:i w:val="0"/>
          <w:color w:val="1A1A1A"/>
          <w:sz w:val="22"/>
        </w:rPr>
        <w:t>Waymo Driver와 AI 스택의 활용처가 늘어나며 고효율·고성능 컴퓨팅 수요는 계속 증가할 것이다. 자율주행 고도화 → 센서 데이터 증가 → 차량 내 inference 증가 → DRAM 대역폭·용량 증가 → NAND/스토리지 증가 → GPU/ASIC 증가다. 투자 관점에서는 Waymo 자체보다 반도체 생태계 뉴스다. 특히 Micron·Samsung·SanDisk·TSMC가 함께 등장한다는 점은 자동차 AI 컴퓨팅이 메모리·스토리지까지 포함한 고사양 플랫폼으로 진화하고 있다는 의미다. 다만 차량 1대당 메모리 탑재량이나 Micron/Samsung의 구체 공급 물량은 공개되지 않았다. 바로 실적 증가로 연결하면 과도하다.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X.  </w:t>
      </w:r>
      <w:r>
        <w:rPr>
          <w:rFonts w:ascii="맑은 고딕" w:hAnsi="맑은 고딕" w:eastAsia="맑은 고딕"/>
          <w:b/>
          <w:i w:val="0"/>
          <w:color w:val="0F2043"/>
          <w:sz w:val="32"/>
        </w:rPr>
        <w:t>국내 종목 — SK, 스퀘어, 네오티스, 솔리다임, NAVER</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SK는 아직 시작도 안 했다는 쪽이 맞다. 기본은 스퀘어(하이닉스)와 이노베이션이고, 에코플랜트 표의 2.1조는 낮다.</w:t>
            </w:r>
          </w:p>
          <w:p>
            <w:pPr>
              <w:spacing w:after="20" w:before="0" w:line="276" w:lineRule="auto"/>
            </w:pPr>
            <w:r>
              <w:rPr>
                <w:rFonts w:ascii="맑은 고딕" w:hAnsi="맑은 고딕" w:eastAsia="맑은 고딕"/>
                <w:b w:val="0"/>
                <w:i w:val="0"/>
                <w:color w:val="1A1A1A"/>
                <w:sz w:val="21"/>
              </w:rPr>
              <w:t>하이닉스 특별배당이 살아 있으면 스퀘어는 다시 proxy play다. 솔리다임 50조는 가치 창출에는 긍정, 귀속은 확인이 필요하다.</w:t>
            </w:r>
          </w:p>
        </w:tc>
      </w:tr>
    </w:tbl>
    <w:p>
      <w:pPr>
        <w:spacing w:after="120"/>
      </w:pPr>
    </w:p>
    <w:p>
      <w:pPr>
        <w:spacing w:before="200" w:after="80"/>
      </w:pPr>
      <w:r>
        <w:rPr>
          <w:rFonts w:ascii="맑은 고딕" w:hAnsi="맑은 고딕" w:eastAsia="맑은 고딕"/>
          <w:b/>
          <w:i w:val="0"/>
          <w:color w:val="1E407C"/>
          <w:sz w:val="26"/>
        </w:rPr>
        <w:t>1. SK 지주사 — 유안타 83만 원, 대신 88만 원</w:t>
      </w:r>
    </w:p>
    <w:p>
      <w:pPr>
        <w:spacing w:after="120" w:before="0" w:line="283" w:lineRule="auto"/>
        <w:jc w:val="left"/>
      </w:pPr>
      <w:r>
        <w:rPr>
          <w:rFonts w:ascii="맑은 고딕" w:hAnsi="맑은 고딕" w:eastAsia="맑은 고딕"/>
          <w:b w:val="0"/>
          <w:i w:val="0"/>
          <w:color w:val="1A1A1A"/>
          <w:sz w:val="22"/>
        </w:rPr>
        <w:t>유안타는 “아직 시작도 안 했다”며 목표주가 83만 원을 유지했다. 내년부터가 진짜라는 논리다. 배당금 수익과 로열티 증가, SK텔레콤 분기배당 재개, 하이닉스 특별배당에 따른 SK스퀘어로부터의 배당 유입, 에코플랜트 실적 개선에 따른 주주환원 재개 기대가 겹친다.</w:t>
      </w:r>
    </w:p>
    <w:p>
      <w:pPr>
        <w:spacing w:after="120" w:before="0" w:line="283" w:lineRule="auto"/>
        <w:jc w:val="left"/>
      </w:pPr>
      <w:r>
        <w:rPr>
          <w:rFonts w:ascii="맑은 고딕" w:hAnsi="맑은 고딕" w:eastAsia="맑은 고딕"/>
          <w:b w:val="0"/>
          <w:i w:val="0"/>
          <w:color w:val="1A1A1A"/>
          <w:sz w:val="22"/>
        </w:rPr>
        <w:t>대신증권은 8월 18일 “할인율 좁혀질 이유가 늘었다”며 목표주가 88만 원을 유지했다. 2Q26 매출 42조 1,247억 원, 영업이익 4조 8,412억 원(+2,212.5% YoY)으로 포트폴리오 리밸런싱을 마친 자회사 이익 체력을 확인했다는 평가다. 에코플랜트가 분기 최대 매출을 내며 AI 데이터센터 관련 실적 반영이 본격화됐다.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SOTP (대신)</w:t>
            </w:r>
          </w:p>
        </w:tc>
        <w:tc>
          <w:tcPr>
            <w:tcW w:type="dxa" w:w="600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금액</w:t>
            </w:r>
          </w:p>
        </w:tc>
      </w:tr>
      <w:tr>
        <w:trPr>
          <w:cantSplit/>
        </w:trPr>
        <w:tc>
          <w:tcPr>
            <w:tcW w:type="dxa" w:w="39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자체사업 및 로열티 영업가치</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13.0조 원</w:t>
            </w:r>
          </w:p>
        </w:tc>
      </w:tr>
      <w:tr>
        <w:trPr>
          <w:cantSplit/>
        </w:trPr>
        <w:tc>
          <w:tcPr>
            <w:tcW w:type="dxa" w:w="39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상장자회사 지분가치</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73.4조 원</w:t>
            </w:r>
          </w:p>
        </w:tc>
      </w:tr>
      <w:tr>
        <w:trPr>
          <w:cantSplit/>
        </w:trPr>
        <w:tc>
          <w:tcPr>
            <w:tcW w:type="dxa" w:w="39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비상장 자회사 지분가치</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3.8조 원</w:t>
            </w:r>
          </w:p>
        </w:tc>
      </w:tr>
      <w:tr>
        <w:trPr>
          <w:cantSplit/>
        </w:trPr>
        <w:tc>
          <w:tcPr>
            <w:tcW w:type="dxa" w:w="39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별도 순차입금 차감</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△8.5조 원</w:t>
            </w:r>
          </w:p>
        </w:tc>
      </w:tr>
      <w:tr>
        <w:trPr>
          <w:cantSplit/>
        </w:trPr>
        <w:tc>
          <w:tcPr>
            <w:tcW w:type="dxa" w:w="3969"/>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NAV</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81.7조 원</w:t>
            </w:r>
          </w:p>
        </w:tc>
      </w:tr>
      <w:tr>
        <w:trPr>
          <w:cantSplit/>
        </w:trPr>
        <w:tc>
          <w:tcPr>
            <w:tcW w:type="dxa" w:w="3969"/>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Target 할인율 41%</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함의 약 48.2조 원 → 목표주가 88만 원 유지</w:t>
            </w:r>
          </w:p>
        </w:tc>
      </w:tr>
    </w:tbl>
    <w:p>
      <w:pPr>
        <w:spacing w:after="160" w:before="40"/>
      </w:pPr>
    </w:p>
    <w:p>
      <w:pPr>
        <w:spacing w:before="160" w:after="60"/>
      </w:pPr>
      <w:r>
        <w:rPr>
          <w:rFonts w:ascii="맑은 고딕" w:hAnsi="맑은 고딕" w:eastAsia="맑은 고딕"/>
          <w:b/>
          <w:i w:val="0"/>
          <w:color w:val="0F2043"/>
          <w:sz w:val="23"/>
        </w:rPr>
        <w:t>SK에코플랜트 — 표의 2.1조 원은 낮다</w:t>
      </w:r>
    </w:p>
    <w:p>
      <w:pPr>
        <w:spacing w:after="120" w:before="0" w:line="283" w:lineRule="auto"/>
        <w:jc w:val="left"/>
      </w:pPr>
      <w:r>
        <w:rPr>
          <w:rFonts w:ascii="맑은 고딕" w:hAnsi="맑은 고딕" w:eastAsia="맑은 고딕"/>
          <w:b w:val="0"/>
          <w:i w:val="0"/>
          <w:color w:val="1A1A1A"/>
          <w:sz w:val="22"/>
        </w:rPr>
        <w:t>에코플랜트는 반도체 공장 건설, AI 데이터센터, 반도체 소재·가스, 메모리 유통·재활용을 같이 하는 회사다. 한 줄로 쓰면 SK하이닉스의 반도체 투자와 AI 데이터센터 투자를 동시에 먹는 회사다. 반도체 관련 매출은 약 80% 이상이다.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사업</w:t>
            </w:r>
          </w:p>
        </w:tc>
        <w:tc>
          <w:tcPr>
            <w:tcW w:type="dxa" w:w="498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26년 상반기 매출 비중</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Asset Lifecycle</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모듈 유통 · IT 자산 재활용</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Hi-Tech</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 Fab · AI 데이터센터 건설</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Solution</w:t>
            </w:r>
          </w:p>
        </w:tc>
        <w:tc>
          <w:tcPr>
            <w:tcW w:type="dxa" w:w="498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건설 · 인프라</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Gas &amp; Material</w:t>
            </w:r>
          </w:p>
        </w:tc>
        <w:tc>
          <w:tcPr>
            <w:tcW w:type="dxa" w:w="498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반도체용 가스 · 소재</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w:t>
            </w:r>
          </w:p>
        </w:tc>
      </w:tr>
    </w:tbl>
    <w:p>
      <w:pPr>
        <w:spacing w:after="160" w:before="40"/>
      </w:pPr>
    </w:p>
    <w:p>
      <w:pPr>
        <w:spacing w:after="120" w:before="0" w:line="283" w:lineRule="auto"/>
        <w:jc w:val="left"/>
      </w:pPr>
      <w:r>
        <w:rPr>
          <w:rFonts w:ascii="맑은 고딕" w:hAnsi="맑은 고딕" w:eastAsia="맑은 고딕"/>
          <w:b w:val="0"/>
          <w:i w:val="0"/>
          <w:color w:val="1A1A1A"/>
          <w:sz w:val="22"/>
        </w:rPr>
        <w:t>2Q26 매출 5.15조 원(+68.4% YoY, 분기 최대), 영업이익 5,340억 원(+265.7%), EBITDA 마진 11.8%(+5.1%p), 수주잔고 26.8조 원, 2분기 신규 수주 7.8조 원이다. 엔진은 세 개다. 용인 클러스터와 청주 M15X의 반도체 CAPEX, 울산 AI 데이터센터 등 AI CAPEX, DRAM·NAND 가격 상승에 따른 Essencore 메모리 유통이다. Hi-Tech 대형 프로젝트 수주 확대가 핵심이다.</w:t>
      </w:r>
    </w:p>
    <w:p>
      <w:pPr>
        <w:spacing w:after="120" w:before="0" w:line="283" w:lineRule="auto"/>
        <w:jc w:val="left"/>
      </w:pPr>
      <w:r>
        <w:rPr>
          <w:rFonts w:ascii="맑은 고딕" w:hAnsi="맑은 고딕" w:eastAsia="맑은 고딕"/>
          <w:b w:val="0"/>
          <w:i w:val="0"/>
          <w:color w:val="1A1A1A"/>
          <w:sz w:val="22"/>
        </w:rPr>
        <w:t>밸류에이션 표는 지분율 71.2%, 장부가 1.271조 원, Value 2.106조 원이다. 1.271조 × 71.2% = 0.905조로 표의 2.106조와 맞지 않는다. 2.106조를 이미 지분율을 반영한 SK 지분가치로 보는 편이 자연스럽다. 어느 쪽이든 2분기 영업이익 5,340억 원의 단순 연환산은 2.14조 원이고 수주잔고는 26.8조 원이다. 과거의 건설회사와 달리 반도체 EPC + AI DC + 메모리 유통으로 이익 체력이 구조적으로 올라왔다면, 2.1조 원의 기업가치는 상당히 낮다.</w:t>
      </w:r>
    </w:p>
    <w:p>
      <w:pPr>
        <w:spacing w:after="120" w:before="0" w:line="283" w:lineRule="auto"/>
        <w:jc w:val="left"/>
      </w:pPr>
      <w:r>
        <w:rPr>
          <w:rFonts w:ascii="맑은 고딕" w:hAnsi="맑은 고딕" w:eastAsia="맑은 고딕"/>
          <w:b w:val="0"/>
          <w:i w:val="0"/>
          <w:color w:val="1A1A1A"/>
          <w:sz w:val="22"/>
        </w:rPr>
        <w:t>시나리오 A: 영업이익 1.6~2조에서 이자·세금·비영업·일회성을 빼고 순이익 1.0조, PER 10배면 기업가치 10조, SK 지분 71.2%면 7.1조. 표의 2.1조와 약 5조 차이다. 시나리오 B: 순이익 1.5조, PER 10배면 15조, SK 지분 10.7조(이노베이션 가치기여와 비슷한 규모). 표와 약 8.6조 차이다. 대신 목표가 산식은 81.6조 × 59% = 48.2조다. 에코플랜트 재평가로 NAV에 약 8조를 더해 89.5조가 되면, 할인율을 안 바꿔도 52.8조로 현재 목표가보다 약 10% 높고, 할인율을 41%에서 35%로 줄이면 89.5조 × 65% = 58.2조로 약 21% 높다. 목표주가 96~106만 원도 산출 가능하다. 증권사 밴드 최고는 100만 원(6/24 흥국) 이후 97만 1개, 88만 1개, 85만 2개, 73.8만 1개다. 안전마진을 충분히 고려해도 긍정적 시각이 가능하다. 단, 기본은 SK스퀘어(하이닉스)와 SK이노베이션 가치다.</w:t>
      </w:r>
    </w:p>
    <w:p>
      <w:pPr>
        <w:spacing w:before="160" w:after="60"/>
      </w:pPr>
      <w:r>
        <w:rPr>
          <w:rFonts w:ascii="맑은 고딕" w:hAnsi="맑은 고딕" w:eastAsia="맑은 고딕"/>
          <w:b/>
          <w:i w:val="0"/>
          <w:color w:val="0F2043"/>
          <w:sz w:val="23"/>
        </w:rPr>
        <w:t>SK실트론 매각</w:t>
      </w:r>
    </w:p>
    <w:p>
      <w:pPr>
        <w:spacing w:after="120" w:before="0" w:line="283" w:lineRule="auto"/>
        <w:jc w:val="left"/>
      </w:pPr>
      <w:r>
        <w:rPr>
          <w:rFonts w:ascii="맑은 고딕" w:hAnsi="맑은 고딕" w:eastAsia="맑은 고딕"/>
          <w:b w:val="0"/>
          <w:i w:val="0"/>
          <w:color w:val="1A1A1A"/>
          <w:sz w:val="22"/>
        </w:rPr>
        <w:t>지분 70.6%를 두산에 2.3조 원에 매각 공시했다. 목적은 재무구조 개선과 투자재원 확보, 초과이익공유 예정이다. 순자산가치 증가 요인이자 주주환원 재원이다. 실트론 가치를 EV/EBITDA 8배로 적용해 지분가치 1.8조 원으로 가정하면, 2.3조 원 매각으로 NAV는 0.5조 원 증가한다. 재무구조를 개선하면서 미래 성장가치 옵션을 확보하는 거래로 읽으면 된다.</w:t>
      </w:r>
    </w:p>
    <w:p>
      <w:pPr>
        <w:spacing w:before="200" w:after="80"/>
      </w:pPr>
      <w:r>
        <w:rPr>
          <w:rFonts w:ascii="맑은 고딕" w:hAnsi="맑은 고딕" w:eastAsia="맑은 고딕"/>
          <w:b/>
          <w:i w:val="0"/>
          <w:color w:val="1E407C"/>
          <w:sz w:val="26"/>
        </w:rPr>
        <w:t>2. SK스퀘어 — 하이닉스 특별배당의 proxy</w:t>
      </w:r>
    </w:p>
    <w:p>
      <w:pPr>
        <w:spacing w:after="120" w:before="0" w:line="283" w:lineRule="auto"/>
        <w:jc w:val="left"/>
      </w:pPr>
      <w:r>
        <w:rPr>
          <w:rFonts w:ascii="맑은 고딕" w:hAnsi="맑은 고딕" w:eastAsia="맑은 고딕"/>
          <w:b w:val="0"/>
          <w:i w:val="0"/>
          <w:color w:val="1A1A1A"/>
          <w:sz w:val="22"/>
        </w:rPr>
        <w:t>하이닉스가 8월 19일 4조 원(이후 자료에서는 40조 원 프로그램) 자사주 매입·소각과 2025~2027년 누적 FCF 50% 이상 환원을 발표하고, 3Q26 실적 발표 때 추가 환원 방안을 밝히겠다고 했다. 시장은 추가 환원의 한 형태로 특별배당 가능성을 열어 두고 있다. 스퀘어는 하이닉스 지분을 약 20% 보유하고 있어 가장 직접적인 수혜자다.</w:t>
      </w:r>
    </w:p>
    <w:p>
      <w:pPr>
        <w:spacing w:before="80" w:after="160" w:line="288" w:lineRule="auto"/>
        <w:jc w:val="center"/>
      </w:pPr>
      <w:r>
        <w:rPr>
          <w:rFonts w:ascii="맑은 고딕" w:hAnsi="맑은 고딕" w:eastAsia="맑은 고딕"/>
          <w:b/>
          <w:i w:val="0"/>
          <w:color w:val="0F2043"/>
          <w:sz w:val="22"/>
        </w:rPr>
        <w:t>하이닉스 특별배당</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스퀘어 현금 유입</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스퀘어 주주환원</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NAV 할인 축소</w:t>
      </w:r>
    </w:p>
    <w:p>
      <w:pPr>
        <w:spacing w:after="120" w:before="0" w:line="283" w:lineRule="auto"/>
        <w:jc w:val="left"/>
      </w:pPr>
      <w:r>
        <w:rPr>
          <w:rFonts w:ascii="맑은 고딕" w:hAnsi="맑은 고딕" w:eastAsia="맑은 고딕"/>
          <w:b w:val="0"/>
          <w:i w:val="0"/>
          <w:color w:val="1A1A1A"/>
          <w:sz w:val="22"/>
        </w:rPr>
        <w:t>스퀘어에는 이미 배당 재원이 준비돼 있다. 2026년 3월 주총에서 자본준비금의 이익잉여금 전입 안건이 통과됐고, 약 5.89조 원이 전입됐다. 스퀘어는 현재 하이닉스 가치에 대한 NAV 할인이 상당히 존재한다. 하이닉스가 특별배당을 하면 스퀘어 현금이 늘고, 추가 배당·자사주 매입·소각 기대가 생기며 할인이 줄어들 수 있다. 단순한 지분 보유회사가 아니라, 하이닉스 주주환원을 자기 주주에게 전달하는 proxy play로 재평가될 수 있다는 논리다. 다만 공식적으로 확인된 것은 “3분기 실적 발표 때 추가 환원을 발표한다”까지이고, 특별배당 금액은 확정되지 않았다.</w:t>
      </w:r>
    </w:p>
    <w:p>
      <w:pPr>
        <w:spacing w:before="200" w:after="80"/>
      </w:pPr>
      <w:r>
        <w:rPr>
          <w:rFonts w:ascii="맑은 고딕" w:hAnsi="맑은 고딕" w:eastAsia="맑은 고딕"/>
          <w:b/>
          <w:i w:val="0"/>
          <w:color w:val="1E407C"/>
          <w:sz w:val="26"/>
        </w:rPr>
        <w:t>3. 네오티스 — 드릴비트와 SoCAMM2</w:t>
      </w:r>
    </w:p>
    <w:p>
      <w:pPr>
        <w:spacing w:after="120" w:before="0" w:line="283" w:lineRule="auto"/>
        <w:jc w:val="left"/>
      </w:pPr>
      <w:r>
        <w:rPr>
          <w:rFonts w:ascii="맑은 고딕" w:hAnsi="맑은 고딕" w:eastAsia="맑은 고딕"/>
          <w:b w:val="0"/>
          <w:i w:val="0"/>
          <w:color w:val="1A1A1A"/>
          <w:sz w:val="22"/>
        </w:rPr>
        <w:t>시가총액 2,418억 원. 핵심은 드릴비트다. PCB에 미세한 구멍을 뚫는 초소형 초경(텅스텐카바이드) 드릴이다. 네오티스는 자동차용 샤프트뿐 아니라 PCB용 마이크로 드릴도 생산한다. 구멍이 작아질수록 정밀도·내마모성·수명이 중요해진다.</w:t>
      </w:r>
    </w:p>
    <w:p>
      <w:pPr>
        <w:spacing w:after="120" w:before="0" w:line="283" w:lineRule="auto"/>
        <w:jc w:val="left"/>
      </w:pPr>
      <w:r>
        <w:rPr>
          <w:rFonts w:ascii="맑은 고딕" w:hAnsi="맑은 고딕" w:eastAsia="맑은 고딕"/>
          <w:b w:val="0"/>
          <w:i w:val="0"/>
          <w:color w:val="1A1A1A"/>
          <w:sz w:val="22"/>
        </w:rPr>
        <w:t>주가는 6월 중순부터 하락해 20일 이평선(2만 중반)과 20주 이평선(2만 원)을 하회했다. 7월 말 1.2만 원까지 추락했던 주가는 2분기 실적 기대감으로 8월 중순 2.2만 원까지 올랐다가 60일선에서 다시 내려왔다. 실적은 증권사 추정에 부합했지만 시장 기대가 더 높았거나, 8월 12일 “AI 서버발 드릴비트 가격 협상력 상승, SoCAMM2까지 겹호재” 뉴스에 Sell the News가 나왔다. 펀더멘털 체크 결과는 이상 없다. 다만 기대가 높았거나, 스몰캡에서 대형주 중심 선호로 바뀌는 과정이라면 강력한 단기 모멘텀은 지켜봐야 한다.</w:t>
      </w:r>
    </w:p>
    <w:p>
      <w:pPr>
        <w:spacing w:after="120" w:before="0" w:line="283" w:lineRule="auto"/>
        <w:jc w:val="left"/>
      </w:pPr>
      <w:r>
        <w:rPr>
          <w:rFonts w:ascii="맑은 고딕" w:hAnsi="맑은 고딕" w:eastAsia="맑은 고딕"/>
          <w:b w:val="0"/>
          <w:i w:val="0"/>
          <w:color w:val="1A1A1A"/>
          <w:sz w:val="22"/>
        </w:rPr>
        <w:t>채널 체크로는 2026년 EPS가 전년 대비 두 배에 가까운 성장 전망이 이상하지 않다. 전방 PCB 수요가 좋고 CAPA 증가 계획도 예정대로이며, 가격 협상력도 기사 내용대로 높아지고 있다. 2027년 PER은 10배 전후로 추정된다. 기술적으로 20일선이 지지되면 시간이 걸리더라도 중기적으로 PER 15배 수준 회복은 타당하다. 손절 룰은 지켜야 한다. 비중이 지나치게 많다면 주봉 20주선에서 1비중을 조절할 수 있다.</w:t>
      </w:r>
    </w:p>
    <w:p>
      <w:pPr>
        <w:spacing w:after="120" w:before="0" w:line="283" w:lineRule="auto"/>
        <w:jc w:val="left"/>
      </w:pPr>
      <w:r>
        <w:rPr>
          <w:rFonts w:ascii="맑은 고딕" w:hAnsi="맑은 고딕" w:eastAsia="맑은 고딕"/>
          <w:b w:val="0"/>
          <w:i w:val="0"/>
          <w:color w:val="1A1A1A"/>
          <w:sz w:val="22"/>
        </w:rPr>
        <w:t>SoCAMM2 Router는 인터넷 공유기가 아니다. SoCAMM2는 NVIDIA의 차세대 AI 서버용 메모리 모듈 규격이고, Router는 그 모듈과 CPU·가속기·다른 메모리 장치를 연결하며 고속 신호를 원하는 경로로 전달하는 PCB/회로 구조다. 고속·고다층 PCB를 만들려면 미세한 구멍을 많이 뚫어야 하므로 드릴비트가 투자 포인트가 된다. 글로벌 peer는 일본 Union Tool(6278.T, 시총 2조 원대), 대만 Topoint(8021.TW)다. 이들의 2027년 PER은 20~30배, 네오티스는 10배 수준이다.</w:t>
      </w:r>
    </w:p>
    <w:p>
      <w:pPr>
        <w:spacing w:before="200" w:after="80"/>
      </w:pPr>
      <w:r>
        <w:rPr>
          <w:rFonts w:ascii="맑은 고딕" w:hAnsi="맑은 고딕" w:eastAsia="맑은 고딕"/>
          <w:b/>
          <w:i w:val="0"/>
          <w:color w:val="1E407C"/>
          <w:sz w:val="26"/>
        </w:rPr>
        <w:t>4. 솔리다임 — 가치 창출은 긍정, 귀속은 미확인</w:t>
      </w:r>
    </w:p>
    <w:p>
      <w:pPr>
        <w:spacing w:after="120" w:before="0" w:line="283" w:lineRule="auto"/>
        <w:jc w:val="left"/>
      </w:pPr>
      <w:r>
        <w:rPr>
          <w:rFonts w:ascii="맑은 고딕" w:hAnsi="맑은 고딕" w:eastAsia="맑은 고딕"/>
          <w:b w:val="0"/>
          <w:i w:val="0"/>
          <w:color w:val="1A1A1A"/>
          <w:sz w:val="22"/>
        </w:rPr>
        <w:t>시그널 단독 보도에 따르면 노종원 전 하이닉스 사장이 미국에 PEF 운용사 테크브릿지를 설립하고 1호 투자처로 SK하이닉스 손자회사 솔리다임을 낙점했다. 테크브릿지는 스톤브릿지캐피탈과 공동 펀드를 조성해 최대 2조 원 투자를 계획한다. 해외 기관 대상 펀드 조성을 시작했고, 성사되면 싱가포르에 추가 거점을 낼 구상이다. 주관사 골드만삭스 등을 통해 UAE 국부펀드 무바달라 등 굵직한 기관이 참여 의사를 밝혔다. 러브콜이 커지자 하이닉스는 전체 기업가치를 약 50조 원, 자금 조달 규모를 최대 10조 원까지 늘려 협상 중인 것으로 알려졌다.</w:t>
      </w:r>
    </w:p>
    <w:p>
      <w:pPr>
        <w:spacing w:after="120" w:before="0" w:line="283" w:lineRule="auto"/>
        <w:jc w:val="left"/>
      </w:pPr>
      <w:r>
        <w:rPr>
          <w:rFonts w:ascii="맑은 고딕" w:hAnsi="맑은 고딕" w:eastAsia="맑은 고딕"/>
          <w:b w:val="0"/>
          <w:i w:val="0"/>
          <w:color w:val="1A1A1A"/>
          <w:sz w:val="22"/>
        </w:rPr>
        <w:t>하이닉스는 올해 초 기존 솔리다임 법인을 ‘AI 컴퍼니’로 전환하고, 낸드·SSD를 신설 솔리다임 법인으로 이전하는 개편을 진행 중이다. 지배구조는 SK → SK스퀘어 → SK하이닉스 → AI 컴퍼니 → 솔리다임이 된다. 시장은 이번 유치를 발판으로 사업을 확대하고 미국 나스닥 상장까지 추진할 것으로 본다. 국내 중복 상장 논란이 있어 계획은 변동될 수 있다. 참여 펀드와 기관은 상장 차질에 대비해 풋옵션 등 회수 장치를 요구할 수 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긍정</w:t>
            </w:r>
          </w:p>
        </w:tc>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우려</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주주가 볼 숫자</w:t>
            </w:r>
          </w:p>
        </w:tc>
      </w:tr>
      <w:tr>
        <w:trPr>
          <w:cantSplit/>
        </w:trPr>
        <w:tc>
          <w:tcPr>
            <w:tcW w:type="dxa" w:w="340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10조 원 인수 → 50조 원 평가 가능</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5~10조 원 투자 시 경제 지분 희석</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최종 지분율 (70% 이상?)</w:t>
            </w:r>
          </w:p>
        </w:tc>
      </w:tr>
      <w:tr>
        <w:trPr>
          <w:cantSplit/>
        </w:trPr>
        <w:tc>
          <w:tcPr>
            <w:tcW w:type="dxa" w:w="340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글로벌 투자자 · eSSD 성장</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나스닥 중복상장 시 모회사 할인</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신규 자금의 귀속처</w:t>
            </w:r>
          </w:p>
        </w:tc>
      </w:tr>
      <w:tr>
        <w:trPr>
          <w:cantSplit/>
        </w:trPr>
        <w:tc>
          <w:tcPr>
            <w:tcW w:type="dxa" w:w="3402"/>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외부 자금으로 하이닉스 CAPEX 부담 완화</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풋옵션 등 회수 장치의 재무 부담</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풋 조건 · 50조 원 산정 기준</w:t>
            </w:r>
          </w:p>
        </w:tc>
      </w:tr>
      <w:tr>
        <w:trPr>
          <w:cantSplit/>
        </w:trPr>
        <w:tc>
          <w:tcPr>
            <w:tcW w:type="dxa" w:w="3402"/>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val="0"/>
                <w:i w:val="0"/>
                <w:color w:val="1A1A1A"/>
                <w:sz w:val="19"/>
              </w:rPr>
              <w:t>전 사장의 직접 투자 = 신뢰 신호</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상장 확정으로 읽으면 성급</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Pre-IPO 협상의 구체화 단계</w:t>
            </w:r>
          </w:p>
        </w:tc>
      </w:tr>
    </w:tbl>
    <w:p>
      <w:pPr>
        <w:spacing w:after="160" w:before="40"/>
      </w:pPr>
    </w:p>
    <w:p>
      <w:pPr>
        <w:spacing w:after="120" w:before="0" w:line="283" w:lineRule="auto"/>
        <w:jc w:val="left"/>
      </w:pPr>
      <w:r>
        <w:rPr>
          <w:rFonts w:ascii="맑은 고딕" w:hAnsi="맑은 고딕" w:eastAsia="맑은 고딕"/>
          <w:b w:val="0"/>
          <w:i w:val="0"/>
          <w:color w:val="1A1A1A"/>
          <w:sz w:val="22"/>
        </w:rPr>
        <w:t>현재 스탠스는 전체적으로 긍정 쪽이다. 솔리다임 50조 원 Pre-IPO는 가치 창출에는 긍정이고, 가치 귀속은 확인이 필요하다. 나스닥 상장 확정으로 받아들이기보다 Pre-IPO 협상이 상당히 구체화되고 있다는 정도로 보는 것이 좋다. 솔리다임 자체에는 매우 좋은 뉴스지만, 하이닉스 주주에게도 좋은 뉴스인지는 얼마나 높은 가격에, 몇 %를 누구에게 넘기느냐가 결정한다.</w:t>
      </w:r>
    </w:p>
    <w:p>
      <w:pPr>
        <w:spacing w:before="200" w:after="80"/>
      </w:pPr>
      <w:r>
        <w:rPr>
          <w:rFonts w:ascii="맑은 고딕" w:hAnsi="맑은 고딕" w:eastAsia="맑은 고딕"/>
          <w:b/>
          <w:i w:val="0"/>
          <w:color w:val="1E407C"/>
          <w:sz w:val="26"/>
        </w:rPr>
        <w:t>5. NAVER — 200MW가 먼저, 1GW는 그다음</w:t>
      </w:r>
    </w:p>
    <w:p>
      <w:pPr>
        <w:spacing w:after="120" w:before="0" w:line="283" w:lineRule="auto"/>
        <w:jc w:val="left"/>
      </w:pPr>
      <w:r>
        <w:rPr>
          <w:rFonts w:ascii="맑은 고딕" w:hAnsi="맑은 고딕" w:eastAsia="맑은 고딕"/>
          <w:b w:val="0"/>
          <w:i w:val="0"/>
          <w:color w:val="1A1A1A"/>
          <w:sz w:val="22"/>
        </w:rPr>
        <w:t>CoreWeave와 Nebius 모두 수년간 공급이 수요를 따라가지 못할 가능성이 거론된다. NAVER의 진입장벽은 7년 이상 GPU 구축·운영과 LLM 학습·서비스 경험이다. Brookfield 자금이 있으면 대규모 AI 데이터센터를 자체 자본만으로 구축할 필요가 없고, NVIDIA 직접 지분투자 가능성까지 거론되며 전략적 중요성이 커진다. 200MW 성공이 확인되면 이후 GW급으로 단계적 확장이 가능하다.</w:t>
      </w:r>
    </w:p>
    <w:p>
      <w:pPr>
        <w:spacing w:after="120" w:before="0" w:line="283" w:lineRule="auto"/>
        <w:jc w:val="left"/>
      </w:pPr>
      <w:r>
        <w:rPr>
          <w:rFonts w:ascii="맑은 고딕" w:hAnsi="맑은 고딕" w:eastAsia="맑은 고딕"/>
          <w:b w:val="0"/>
          <w:i w:val="0"/>
          <w:color w:val="1A1A1A"/>
          <w:sz w:val="22"/>
        </w:rPr>
        <w:t>기존 가이던스는 1GW 환산 연간 매출 최소 20조 원이다. NAVER 2026년 매출의 60~70%에 해당하는 신규 창출 잠재력이다. 단순한 신규 사업이 아니라 전체 사업구조를 바꿀 수 있는 규모다. GPU 가격이 오르면 렌탈 가격도 오르고, 6개월 이하 단기계약 단가는 장기계약의 2배 이상이다. 세종 2단계부터는 다수 고객과 단기계약을 병행할 수 있어, 단기계약이 실제로 확대되면 매출·이익 추정치가 상향될 수 있다.</w:t>
      </w:r>
    </w:p>
    <w:p>
      <w:pPr>
        <w:spacing w:before="80" w:after="160" w:line="288" w:lineRule="auto"/>
        <w:jc w:val="center"/>
      </w:pPr>
      <w:r>
        <w:rPr>
          <w:rFonts w:ascii="맑은 고딕" w:hAnsi="맑은 고딕" w:eastAsia="맑은 고딕"/>
          <w:b/>
          <w:i w:val="0"/>
          <w:color w:val="0F2043"/>
          <w:sz w:val="22"/>
        </w:rPr>
        <w:t>Brookfield 자금</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GPU 확보</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200MW 구축</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Take-or-pay</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매출</w:t>
      </w:r>
    </w:p>
    <w:p>
      <w:pPr>
        <w:spacing w:after="120" w:before="0" w:line="283" w:lineRule="auto"/>
        <w:jc w:val="left"/>
      </w:pPr>
      <w:r>
        <w:rPr>
          <w:rFonts w:ascii="맑은 고딕" w:hAnsi="맑은 고딕" w:eastAsia="맑은 고딕"/>
          <w:b w:val="0"/>
          <w:i w:val="0"/>
          <w:color w:val="1A1A1A"/>
          <w:sz w:val="22"/>
        </w:rPr>
        <w:t>예상 구조는 Brookfield가 equity + debt로 GPU 구매와 데이터센터 구축 자금을 대고, NAVER는 GB300에서 Vera Rubin 등 차세대 GPU, 임차·구축, 인프라 운영을 맡는 것이다. 200MW 온기 반영은 2029년, 연간 매출 4.5조 원 이상, 영업이익률 15% 이상, 영업이익 약 6,750억 원 이상이 기대된다. 초기 2027년에도 GPU 세팅 후 매출 확보까지 2~3개월이면 영업이익률 10% 이상이 가능하다는 판단이다. 3Q26 중 200MW 고객 수주, Brookfield 자금 조달, NVIDIA 지분투자의 구체화 가능성을 보면 된다.</w:t>
      </w:r>
    </w:p>
    <w:p>
      <w:pPr>
        <w:spacing w:before="200" w:after="80"/>
      </w:pPr>
      <w:r>
        <w:rPr>
          <w:rFonts w:ascii="맑은 고딕" w:hAnsi="맑은 고딕" w:eastAsia="맑은 고딕"/>
          <w:b/>
          <w:i w:val="0"/>
          <w:color w:val="1E407C"/>
          <w:sz w:val="26"/>
        </w:rPr>
        <w:t>6. 보론 — KCC</w:t>
      </w:r>
    </w:p>
    <w:p>
      <w:pPr>
        <w:spacing w:after="120" w:before="0" w:line="283" w:lineRule="auto"/>
        <w:jc w:val="left"/>
      </w:pPr>
      <w:r>
        <w:rPr>
          <w:rFonts w:ascii="맑은 고딕" w:hAnsi="맑은 고딕" w:eastAsia="맑은 고딕"/>
          <w:b w:val="0"/>
          <w:i w:val="0"/>
          <w:color w:val="1A1A1A"/>
          <w:sz w:val="22"/>
        </w:rPr>
        <w:t>핵심 변화는 삼성물산 특별배당을 KCC 주주에게 재환원한다는 것이다. 기존 최소 DPS 6,000원 + 추가배당에서, 삼성물산 특별배당 수취액의 50% 이상을 KCC 특별배당으로 지급한다. 자사주 13.2%는 2027년 9월까지 전량 소각하고, 향후 삼성물산 지분 매각 차익도 주주환원에 쓴다. 전체 주주환원 규모는 약 6조 원 수준으로 확대될 전망이다. 특별배당으로 배당수익률 4.6~6.1%가 가능하고, 현재 PBR 0.38배는 절대적 저평가로 본다. 삼성물산의 주주환원 확대가 KCC를 거쳐 KCC 주주에게까지 전달되는 구조가 만들어졌다. 실리콘 업사이클 기대도 겹친다.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XI.  </w:t>
      </w:r>
      <w:r>
        <w:rPr>
          <w:rFonts w:ascii="맑은 고딕" w:hAnsi="맑은 고딕" w:eastAsia="맑은 고딕"/>
          <w:b/>
          <w:i w:val="0"/>
          <w:color w:val="0F2043"/>
          <w:sz w:val="32"/>
        </w:rPr>
        <w:t>바이오 — 모더나와 8월 선별 국면</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장의 결론</w:t>
            </w:r>
          </w:p>
          <w:p>
            <w:pPr>
              <w:spacing w:after="20" w:before="0" w:line="276" w:lineRule="auto"/>
            </w:pPr>
            <w:r>
              <w:rPr>
                <w:rFonts w:ascii="맑은 고딕" w:hAnsi="맑은 고딕" w:eastAsia="맑은 고딕"/>
                <w:b w:val="0"/>
                <w:i w:val="0"/>
                <w:color w:val="1A1A1A"/>
                <w:sz w:val="21"/>
              </w:rPr>
              <w:t>모더나 +177% 다음날 −23.55%는 임상 실패가 아니라 기대의 되돌림이다.</w:t>
            </w:r>
          </w:p>
          <w:p>
            <w:pPr>
              <w:spacing w:after="20" w:before="0" w:line="276" w:lineRule="auto"/>
            </w:pPr>
            <w:r>
              <w:rPr>
                <w:rFonts w:ascii="맑은 고딕" w:hAnsi="맑은 고딕" w:eastAsia="맑은 고딕"/>
                <w:b w:val="0"/>
                <w:i w:val="0"/>
                <w:color w:val="1A1A1A"/>
                <w:sz w:val="21"/>
              </w:rPr>
              <w:t>8월은 임상은 강하고 L/O는 비수기다. 섹터 전체보다 종목 선별. 9월부터 이벤트가 재개된다.</w:t>
            </w:r>
          </w:p>
        </w:tc>
      </w:tr>
    </w:tbl>
    <w:p>
      <w:pPr>
        <w:spacing w:after="120"/>
      </w:pPr>
    </w:p>
    <w:p>
      <w:pPr>
        <w:spacing w:before="200" w:after="80"/>
      </w:pPr>
      <w:r>
        <w:rPr>
          <w:rFonts w:ascii="맑은 고딕" w:hAnsi="맑은 고딕" w:eastAsia="맑은 고딕"/>
          <w:b/>
          <w:i w:val="0"/>
          <w:color w:val="1E407C"/>
          <w:sz w:val="26"/>
        </w:rPr>
        <w:t>1. 모더나 — 호재의 과속</w:t>
      </w:r>
    </w:p>
    <w:p>
      <w:pPr>
        <w:spacing w:after="120" w:before="0" w:line="283" w:lineRule="auto"/>
        <w:jc w:val="left"/>
      </w:pPr>
      <w:r>
        <w:rPr>
          <w:rFonts w:ascii="맑은 고딕" w:hAnsi="맑은 고딕" w:eastAsia="맑은 고딕"/>
          <w:b w:val="0"/>
          <w:i w:val="0"/>
          <w:color w:val="1A1A1A"/>
          <w:sz w:val="22"/>
        </w:rPr>
        <w:t>월마트와 모더나는 완전히 다른 이야기다. 8월 19일 모더나는 +177% 폭등했다. Merck와 공동 개발한 개인맞춤형 mRNA 흑색종 치료제 intismeran autogene의 임상 3상 성공 소식이다. 환자 종양을 분석해 환자마다 다른 암세포 돌연변이(neoantigen)를 표적으로 하는 맞춤형 mRNA 백신을 만들고, 이를 Merck의 Keytruda와 병용했다. 고위험 흑색종 1,137명 대상에서 키트루다 단독 대비 무재발생존기간(RFS)과 원격전이 없는 생존기간(DMFS)이 개선됐다. 시장은 모더나가 코로나 백신 회사에서 암 치료제 회사로 변신할 수 있다고 평가했고, 하루 +177%가 나왔다.</w:t>
      </w:r>
    </w:p>
    <w:p>
      <w:pPr>
        <w:spacing w:after="120" w:before="0" w:line="283" w:lineRule="auto"/>
        <w:jc w:val="left"/>
      </w:pPr>
      <w:r>
        <w:rPr>
          <w:rFonts w:ascii="맑은 고딕" w:hAnsi="맑은 고딕" w:eastAsia="맑은 고딕"/>
          <w:b w:val="0"/>
          <w:i w:val="0"/>
          <w:color w:val="1A1A1A"/>
          <w:sz w:val="22"/>
        </w:rPr>
        <w:t>다음 날 −23.55%의 핵심은 차익실현과 과도했던 기대의 일부 되돌림이다. 전날 60달러대에서 174달러 전후까지 폭등한 뒤, 하루에 약 158억 달러의 시가총액을 다시 잃었다. 현재 공개된 것은 “임상 3상에서 주요 평가목표를 충족했다”는 회사 발표다. 세부 수치와 전체 생존율(OS) 등 핵심 데이터는 아직 모두 공개되지 않았고, 상세는 향후 학회에서 나온다. 시장은 하루 만에 ‘대박 신약 확정’까지 주가에 반영했다가 일부 되돌린 것이다.</w:t>
      </w:r>
    </w:p>
    <w:p>
      <w:pPr>
        <w:spacing w:after="120" w:before="0" w:line="283" w:lineRule="auto"/>
        <w:jc w:val="left"/>
      </w:pPr>
      <w:r>
        <w:rPr>
          <w:rFonts w:ascii="맑은 고딕" w:hAnsi="맑은 고딕" w:eastAsia="맑은 고딕"/>
          <w:b w:val="0"/>
          <w:i w:val="0"/>
          <w:color w:val="1A1A1A"/>
          <w:sz w:val="22"/>
        </w:rPr>
        <w:t>더 중요한 투자 포인트는 주가가 임상 성공 이상의 미래 매출을 선반영했다는 점이다. 임상 성공 → FDA 승인 → 상업화 → 실제 매출까지는 시간이 필요하다. +177%는 이미 상당한 미래 성공을 가격에 넣었다. 일부 분석은 시장이 암 치료제에 연간 수십억 달러 매출을 매우 공격적으로 기대한다고 지적했고, UBS 쪽에서는 사실상 연매출 200억 달러 수준을 암묵적으로 반영하고 있다는 우려도 나왔다. −23.55%는 임상 실패가 아니다. 전날 177% 폭등의 일부 되돌림이다.</w:t>
      </w:r>
    </w:p>
    <w:p>
      <w:pPr>
        <w:spacing w:before="200" w:after="80"/>
      </w:pPr>
      <w:r>
        <w:rPr>
          <w:rFonts w:ascii="맑은 고딕" w:hAnsi="맑은 고딕" w:eastAsia="맑은 고딕"/>
          <w:b/>
          <w:i w:val="0"/>
          <w:color w:val="1E407C"/>
          <w:sz w:val="26"/>
        </w:rPr>
        <w:t>2. 섹터 프레임</w:t>
      </w:r>
    </w:p>
    <w:p>
      <w:pPr>
        <w:spacing w:after="120" w:before="0" w:line="283" w:lineRule="auto"/>
        <w:jc w:val="left"/>
      </w:pPr>
      <w:r>
        <w:rPr>
          <w:rFonts w:ascii="맑은 고딕" w:hAnsi="맑은 고딕" w:eastAsia="맑은 고딕"/>
          <w:b w:val="0"/>
          <w:i w:val="0"/>
          <w:color w:val="1A1A1A"/>
          <w:sz w:val="22"/>
        </w:rPr>
        <w:t>빅파마 2Q26 실적은 양호하다. 비만·면역·항암 신제품 성장이 기존 제품 특허만료(LOE) 영향을 상쇄했다. R&amp;D 투자는 높은 수준을 유지하되, 대형 M&amp;A보다 검증된 유망 기술을 소규모로 확보하는 bolt-on BD를 선호한다. R&amp;D 축소가 아니라 성공 가능성이 높은 분야에 집중하는 것이다. 8월 후기 임상 성공이 잇따르며 글로벌 바이오 투자심리는 개선됐다. 모더나·MSD 3상이 그 촉매다. mRNA 기술이 감염병에서 항암 치료로 확장될 가능성이 확인된 셈이다.</w:t>
      </w:r>
    </w:p>
    <w:p>
      <w:pPr>
        <w:spacing w:after="120" w:before="0" w:line="283" w:lineRule="auto"/>
        <w:jc w:val="left"/>
      </w:pPr>
      <w:r>
        <w:rPr>
          <w:rFonts w:ascii="맑은 고딕" w:hAnsi="맑은 고딕" w:eastAsia="맑은 고딕"/>
          <w:b w:val="0"/>
          <w:i w:val="0"/>
          <w:color w:val="1A1A1A"/>
          <w:sz w:val="22"/>
        </w:rPr>
        <w:t>다만 7~8월은 글로벌 BD·L/O 비수기다. 빅파마도 보수적으로 BD를 집행해 단기 기술수출 모멘텀은 공백이다. 국내 바이오는 7월 말 이후 투자심리가 회복됐으나, 단기 반등 이후에는 기업별 임상·기술력에 따른 차별화가 예상된다. 8월은 섹터 전체 상승보다 종목 선별 국면이다. 9월부터 R&amp;D 이벤트가 재개되며 모멘텀이 강화될 수 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771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볼 것</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셀트리온</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안정적인 실적 + 신제품/신시장 성장</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에이비엘바이오</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이중항체 플랫폼 + 임상 이벤트</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알테오젠</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추가 L/O, 로열티 조건, 가격(로열티) 기대의 오버행 해소</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올릭스</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탈모 임상 1b, 추가 L/O, 2026년 6월 유증 이후 물량 오버행 시점</w:t>
            </w:r>
          </w:p>
        </w:tc>
      </w:tr>
    </w:tbl>
    <w:p>
      <w:pPr>
        <w:spacing w:after="160" w:before="40"/>
      </w:pPr>
    </w:p>
    <w:p>
      <w:pPr>
        <w:spacing w:after="120" w:before="0" w:line="283" w:lineRule="auto"/>
        <w:jc w:val="left"/>
      </w:pPr>
      <w:r>
        <w:rPr>
          <w:rFonts w:ascii="맑은 고딕" w:hAnsi="맑은 고딕" w:eastAsia="맑은 고딕"/>
          <w:b w:val="0"/>
          <w:i w:val="0"/>
          <w:color w:val="1A1A1A"/>
          <w:sz w:val="22"/>
        </w:rPr>
        <w:t>알테오젠은 가격(로열티) 기대의 오버행, 올릭스는 주식 물량의 오버행으로 성격이 다르다. 올릭스는 대규모 유증이 이미 결정·집행된 만큼, 앞으로는 유증 자체보다 기존 투자자 물량이 실제로 언제 시장에 나올 수 있는지를 확인해야 한다.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XII.  </w:t>
      </w:r>
      <w:r>
        <w:rPr>
          <w:rFonts w:ascii="맑은 고딕" w:hAnsi="맑은 고딕" w:eastAsia="맑은 고딕"/>
          <w:b/>
          <w:i w:val="0"/>
          <w:color w:val="0F2043"/>
          <w:sz w:val="32"/>
        </w:rPr>
        <w:t>종합 판단과 검증 체크리스트</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이 레포트의 네 문장</w:t>
            </w:r>
          </w:p>
          <w:p>
            <w:pPr>
              <w:spacing w:after="20" w:before="0" w:line="276" w:lineRule="auto"/>
            </w:pPr>
            <w:r>
              <w:rPr>
                <w:rFonts w:ascii="맑은 고딕" w:hAnsi="맑은 고딕" w:eastAsia="맑은 고딕"/>
                <w:b w:val="0"/>
                <w:i w:val="0"/>
                <w:color w:val="1A1A1A"/>
                <w:sz w:val="21"/>
              </w:rPr>
              <w:t>1) 150%보다 Memory Supplier → Strategic Partner가 핵심이다. 사이클이 사라진 것이 아니라 구조가 바뀌었다.</w:t>
            </w:r>
          </w:p>
          <w:p>
            <w:pPr>
              <w:spacing w:after="20" w:before="0" w:line="276" w:lineRule="auto"/>
            </w:pPr>
            <w:r>
              <w:rPr>
                <w:rFonts w:ascii="맑은 고딕" w:hAnsi="맑은 고딕" w:eastAsia="맑은 고딕"/>
                <w:b w:val="0"/>
                <w:i w:val="0"/>
                <w:color w:val="1A1A1A"/>
                <w:sz w:val="21"/>
              </w:rPr>
              <w:t>2) Dudley의 2027년 붕괴 전제(CAPEX 증가율 둔화)는 아직 조짐이 없다. 절대액·백로그·토큰·공급제약이 단기 반론이다.</w:t>
            </w:r>
          </w:p>
          <w:p>
            <w:pPr>
              <w:spacing w:after="20" w:before="0" w:line="276" w:lineRule="auto"/>
            </w:pPr>
            <w:r>
              <w:rPr>
                <w:rFonts w:ascii="맑은 고딕" w:hAnsi="맑은 고딕" w:eastAsia="맑은 고딕"/>
                <w:b w:val="0"/>
                <w:i w:val="0"/>
                <w:color w:val="1A1A1A"/>
                <w:sz w:val="21"/>
              </w:rPr>
              <w:t>3) 시장은 역사적으로 비싸다. 2025년부터의 경고는 ‘곧 폭락’이 아니라 ‘이익이 이 가격을 따라오느냐’다. 멈춤의 후보는 CAPEX 둔화 → ROIC 실망 → 장기금리 → PER이다.</w:t>
            </w:r>
          </w:p>
          <w:p>
            <w:pPr>
              <w:spacing w:after="20" w:before="0" w:line="276" w:lineRule="auto"/>
            </w:pPr>
            <w:r>
              <w:rPr>
                <w:rFonts w:ascii="맑은 고딕" w:hAnsi="맑은 고딕" w:eastAsia="맑은 고딕"/>
                <w:b w:val="0"/>
                <w:i w:val="0"/>
                <w:color w:val="1A1A1A"/>
                <w:sz w:val="21"/>
              </w:rPr>
              <w:t>4) 약한 고리는 자금이다. 30Y TIPS 3%, 10Y 5%, OpenAI·Oracle·SPV. 그래도 엔비디아·브로드컴 금융과 Bessent 대응이 먼저 움직인다.</w:t>
            </w:r>
          </w:p>
        </w:tc>
      </w:tr>
    </w:tbl>
    <w:p>
      <w:pPr>
        <w:spacing w:after="120"/>
      </w:pPr>
    </w:p>
    <w:p>
      <w:pPr>
        <w:spacing w:after="120" w:before="0" w:line="283" w:lineRule="auto"/>
        <w:jc w:val="left"/>
      </w:pPr>
      <w:r>
        <w:rPr>
          <w:rFonts w:ascii="맑은 고딕" w:hAnsi="맑은 고딕" w:eastAsia="맑은 고딕"/>
          <w:b w:val="0"/>
          <w:i w:val="0"/>
          <w:color w:val="1A1A1A"/>
          <w:sz w:val="22"/>
        </w:rPr>
        <w:t>건설 노동자, 전력, 반도체가 계속 부족하면 버블 자체가 성립하지 않는다. 버블이려면 수요와 토큰 증가가 데이터센터 용량보다 느려야 한다. 그것을 정확히 아는 사람은 없고, 모델 업체가 조금 더 가깝다. 그들도 1~2년 뒤 신규 캠퍼스 가동 시점의 토큰과 가격 탄력은 모른다. 그런데도 에이전트 AI와 추론 모델 전망은 확대 중이다. 미국 성장은 AI가 주춤하는 순간 물건너 간다. 그래서 미래를 믿되, 계속 검증하는 마음을 유지한다.</w:t>
      </w:r>
    </w:p>
    <w:p>
      <w:pPr>
        <w:spacing w:before="200" w:after="80"/>
      </w:pPr>
      <w:r>
        <w:rPr>
          <w:rFonts w:ascii="맑은 고딕" w:hAnsi="맑은 고딕" w:eastAsia="맑은 고딕"/>
          <w:b/>
          <w:i w:val="0"/>
          <w:color w:val="1E407C"/>
          <w:sz w:val="26"/>
        </w:rPr>
        <w:t>1. 검증 체크리스트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68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w:t>
            </w:r>
          </w:p>
        </w:tc>
        <w:tc>
          <w:tcPr>
            <w:tcW w:type="dxa" w:w="294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 항목</w:t>
            </w:r>
          </w:p>
        </w:tc>
        <w:tc>
          <w:tcPr>
            <w:tcW w:type="dxa" w:w="328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YES에 가깝면</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NO에 가깝면</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①</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 증가율 둔화 조짐이 보이는가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Dudley 경로 강화</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절대 CAPEX 고점 유지</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②</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공급제약은 해소되는가, 잔존하는가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해소 = 산업 활성화 / 잔존 = 이익 레벨 연장</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병목만 있고 수요는 둔화</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③</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하이퍼스케일러 백로그는 유지되는가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CAPEX의 2~3배 유지</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백로그 소진 · 매출 지연</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④</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토큰·에이전트 AI가 가시화되는가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1~2년 내 생산성 가시화</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IT 투자에서 멈춤</w:t>
            </w:r>
          </w:p>
        </w:tc>
      </w:tr>
      <w:tr>
        <w:trPr>
          <w:cantSplit/>
        </w:trPr>
        <w:tc>
          <w:tcPr>
            <w:tcW w:type="dxa" w:w="68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⑤</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 10Y는 어디에 있는가</w:t>
            </w:r>
          </w:p>
        </w:tc>
        <w:tc>
          <w:tcPr>
            <w:tcW w:type="dxa" w:w="328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TIPS 2.87% 회복 · 10Y 5% 아래</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TIPS 3% 돌파 · 10Y 5% 접근</w:t>
            </w:r>
          </w:p>
        </w:tc>
      </w:tr>
      <w:tr>
        <w:trPr>
          <w:cantSplit/>
        </w:trPr>
        <w:tc>
          <w:tcPr>
            <w:tcW w:type="dxa" w:w="68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⑥</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8/26 NVIDIA는 수요를 재확인하는가</w:t>
            </w:r>
          </w:p>
        </w:tc>
        <w:tc>
          <w:tcPr>
            <w:tcW w:type="dxa" w:w="328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수요·가이던스 재확인</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CAPEX/ROIC 실망</w:t>
            </w:r>
          </w:p>
        </w:tc>
      </w:tr>
    </w:tbl>
    <w:p>
      <w:pPr>
        <w:spacing w:after="160" w:before="40"/>
      </w:pPr>
    </w:p>
    <w:p>
      <w:pPr>
        <w:spacing w:before="200" w:after="80"/>
      </w:pPr>
      <w:r>
        <w:rPr>
          <w:rFonts w:ascii="맑은 고딕" w:hAnsi="맑은 고딕" w:eastAsia="맑은 고딕"/>
          <w:b/>
          <w:i w:val="0"/>
          <w:color w:val="1E407C"/>
          <w:sz w:val="26"/>
        </w:rPr>
        <w:t>2. 다음 주 3대 이벤트</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3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날짜</w:t>
            </w:r>
          </w:p>
        </w:tc>
        <w:tc>
          <w:tcPr>
            <w:tcW w:type="dxa" w:w="306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이벤트</w:t>
            </w:r>
          </w:p>
        </w:tc>
        <w:tc>
          <w:tcPr>
            <w:tcW w:type="dxa" w:w="555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레포트와의 연결</w:t>
            </w:r>
          </w:p>
        </w:tc>
      </w:tr>
      <w:tr>
        <w:trPr>
          <w:cantSplit/>
        </w:trPr>
        <w:tc>
          <w:tcPr>
            <w:tcW w:type="dxa" w:w="13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8/24</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Bessent</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재무부 국채시장 대응책 추가 설명. 바이백이 시험용을 넘어 확장되는지</w:t>
            </w:r>
          </w:p>
        </w:tc>
      </w:tr>
      <w:tr>
        <w:trPr>
          <w:cantSplit/>
        </w:trPr>
        <w:tc>
          <w:tcPr>
            <w:tcW w:type="dxa" w:w="136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8/26</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실적</w:t>
            </w:r>
          </w:p>
        </w:tc>
        <w:tc>
          <w:tcPr>
            <w:tcW w:type="dxa" w:w="555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투자·반도체 사이클의 핵심. 마이크론 150%의 교차검증</w:t>
            </w:r>
          </w:p>
        </w:tc>
      </w:tr>
      <w:tr>
        <w:trPr>
          <w:cantSplit/>
        </w:trPr>
        <w:tc>
          <w:tcPr>
            <w:tcW w:type="dxa" w:w="136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8/28</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Jackson Hole / Kevin Warsh</w:t>
            </w:r>
          </w:p>
        </w:tc>
        <w:tc>
          <w:tcPr>
            <w:tcW w:type="dxa" w:w="555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 금리정책과 장기금리 방향성. 30Y TIPS·10Y 레드라인과 연결</w:t>
            </w:r>
          </w:p>
        </w:tc>
      </w:tr>
    </w:tbl>
    <w:p>
      <w:pPr>
        <w:spacing w:after="160" w:before="40"/>
      </w:pPr>
    </w:p>
    <w:p>
      <w:pPr>
        <w:spacing w:before="200" w:after="80"/>
      </w:pPr>
      <w:r>
        <w:rPr>
          <w:rFonts w:ascii="맑은 고딕" w:hAnsi="맑은 고딕" w:eastAsia="맑은 고딕"/>
          <w:b/>
          <w:i w:val="0"/>
          <w:color w:val="1E407C"/>
          <w:sz w:val="26"/>
        </w:rPr>
        <w:t>3. 단기·장기 스탠스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스탠스</w:t>
            </w:r>
          </w:p>
        </w:tc>
        <w:tc>
          <w:tcPr>
            <w:tcW w:type="dxa" w:w="48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근거</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실물 (메모리·AI 인프라)</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긍정, 다만 검증</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 150%, 공동설계, 수출 Flash/MCP, 백로그 2~3배</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 (지수 밸류)</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비싸다. 즉시 붕괴는 아님</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 41, Buffett 235~240. 고평가는 수년 지속 가능</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자금 (금리·SPV)</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가장 약한 고리</w:t>
            </w:r>
          </w:p>
        </w:tc>
        <w:tc>
          <w:tcPr>
            <w:tcW w:type="dxa" w:w="487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30Y TIPS 2.94%, 하이퍼스케일러 회사채, OpenAI·Oracle</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한국 시장</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중립. 환원 평가가 변수</w:t>
            </w:r>
          </w:p>
        </w:tc>
        <w:tc>
          <w:tcPr>
            <w:tcW w:type="dxa" w:w="487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강세 vs 월요일 삼성 갭, 주주환원 소화</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A.  </w:t>
      </w:r>
      <w:r>
        <w:rPr>
          <w:rFonts w:ascii="맑은 고딕" w:hAnsi="맑은 고딕" w:eastAsia="맑은 고딕"/>
          <w:b/>
          <w:i w:val="0"/>
          <w:color w:val="0F2043"/>
          <w:sz w:val="32"/>
        </w:rPr>
        <w:t>부록</w:t>
      </w:r>
    </w:p>
    <w:p>
      <w:pPr>
        <w:spacing w:before="200" w:after="80"/>
      </w:pPr>
      <w:r>
        <w:rPr>
          <w:rFonts w:ascii="맑은 고딕" w:hAnsi="맑은 고딕" w:eastAsia="맑은 고딕"/>
          <w:b/>
          <w:i w:val="0"/>
          <w:color w:val="1E407C"/>
          <w:sz w:val="26"/>
        </w:rPr>
        <w:t>A-1. 자료 목록</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6576"/>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자료</w:t>
            </w:r>
          </w:p>
        </w:tc>
        <w:tc>
          <w:tcPr>
            <w:tcW w:type="dxa" w:w="340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레포트에서의 위치</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CEO 150% · 공동설계 퀵코멘트</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II</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마이크론 주주환원 잠재력 (UBS)</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II, VIII</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미국장 8월 21일 · 메모리 밸류</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III</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월마트 분해</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III</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Dudley 칼럼 및 반론 퀵코멘트</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IV</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Buffett Indicator · CAPE 퀵코멘트</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금리 애기 (30년 TIPS, 빅테크 자금조달)</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VI</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국채 vs. 빅테크 회사채 (Rosenberg)</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VI</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반도체 4가지 뉴스 · 의미</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VII</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반도체 수출 통계 (1~20일)</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VIII</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삼전닉스 주주환원</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VIII</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메타, 범용 서버용 DRAM 효율화</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IX</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앤트로픽 자체 칩 · 구글 개발자 영입</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IX</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웨이모 차량용 AI 컴퓨팅 플랫폼</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IX</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 (오늘 &amp; 8월 18일)</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X</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SK스퀘어 · 네오티스</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X</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솔리다임 투자유치</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X</w:t>
            </w:r>
          </w:p>
        </w:tc>
      </w:tr>
      <w:tr>
        <w:trPr>
          <w:cantSplit/>
        </w:trPr>
        <w:tc>
          <w:tcPr>
            <w:tcW w:type="dxa" w:w="6576"/>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NAVER</w:t>
            </w:r>
          </w:p>
        </w:tc>
        <w:tc>
          <w:tcPr>
            <w:tcW w:type="dxa" w:w="34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X</w:t>
            </w:r>
          </w:p>
        </w:tc>
      </w:tr>
      <w:tr>
        <w:trPr>
          <w:cantSplit/>
        </w:trPr>
        <w:tc>
          <w:tcPr>
            <w:tcW w:type="dxa" w:w="6576"/>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바이오 이슈</w:t>
            </w:r>
          </w:p>
        </w:tc>
        <w:tc>
          <w:tcPr>
            <w:tcW w:type="dxa" w:w="34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XI</w:t>
            </w:r>
          </w:p>
        </w:tc>
      </w:tr>
    </w:tbl>
    <w:p>
      <w:pPr>
        <w:spacing w:after="160" w:before="40"/>
      </w:pPr>
    </w:p>
    <w:p>
      <w:pPr>
        <w:spacing w:before="200" w:after="80"/>
      </w:pPr>
      <w:r>
        <w:rPr>
          <w:rFonts w:ascii="맑은 고딕" w:hAnsi="맑은 고딕" w:eastAsia="맑은 고딕"/>
          <w:b/>
          <w:i w:val="0"/>
          <w:color w:val="1E407C"/>
          <w:sz w:val="26"/>
        </w:rPr>
        <w:t>A-2. 주요 용어</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용어</w:t>
            </w:r>
          </w:p>
        </w:tc>
        <w:tc>
          <w:tcPr>
            <w:tcW w:type="dxa" w:w="737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 레포트에서의 쓰임</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구매의향 150%</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고객이 사고 싶다고 하는 물량 ÷ 공급사가 commit 가능한 물량</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공동설계 (co-design)</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입찰이 아니라 가속기·HBM 스펙을 고객과 같이 정하는 조달</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CAPE</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주가 ÷ 과거 10년 평균 실질이익. Shiller P/E</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Buffett Indicator</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주식 시가총액 ÷ GDP</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30년 TIPS</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물가를 제외한 장기 실질수익률. 우호 2.87% 이하, 경계 3.0%</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Bear Steepening</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상승, 특히 장기금리 상승. 성장주 부담</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Bessent Put</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재무부 장기국채 바이백으로 금리 급등을 막으려는 신호</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조정 FCF</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환원 기준. 기본 FCF − LTA 선수금 − 성과급 관련</w:t>
            </w:r>
          </w:p>
        </w:tc>
      </w:tr>
      <w:tr>
        <w:trPr>
          <w:cantSplit/>
        </w:trPr>
        <w:tc>
          <w:tcPr>
            <w:tcW w:type="dxa" w:w="260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CXL</w:t>
            </w:r>
          </w:p>
        </w:tc>
        <w:tc>
          <w:tcPr>
            <w:tcW w:type="dxa" w:w="737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구형 DDR4를 신형 DDR5 서버에 붙이는 메모리 확장 인터페이스</w:t>
            </w:r>
          </w:p>
        </w:tc>
      </w:tr>
      <w:tr>
        <w:trPr>
          <w:cantSplit/>
        </w:trPr>
        <w:tc>
          <w:tcPr>
            <w:tcW w:type="dxa" w:w="260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SoCAMM2 Router</w:t>
            </w:r>
          </w:p>
        </w:tc>
        <w:tc>
          <w:tcPr>
            <w:tcW w:type="dxa" w:w="737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NVIDIA 차세대 AI 서버 메모리 모듈의 고속 연결 PCB</w:t>
            </w:r>
          </w:p>
        </w:tc>
      </w:tr>
    </w:tbl>
    <w:p>
      <w:pPr>
        <w:spacing w:after="160" w:before="40"/>
      </w:pPr>
    </w:p>
    <w:p>
      <w:pPr>
        <w:spacing w:after="160" w:before="0"/>
      </w:pPr>
    </w:p>
    <w:p>
      <w:pPr>
        <w:spacing w:after="120" w:before="0" w:line="283" w:lineRule="auto"/>
        <w:jc w:val="right"/>
      </w:pPr>
      <w:r>
        <w:rPr>
          <w:rFonts w:ascii="맑은 고딕" w:hAnsi="맑은 고딕" w:eastAsia="맑은 고딕"/>
          <w:b w:val="0"/>
          <w:i w:val="0"/>
          <w:color w:val="4B5563"/>
          <w:sz w:val="19"/>
        </w:rPr>
        <w:t>— 2026년 8월 21일 시장 종합 레포트. 퀵코멘트 06:48~18:34와 워드 17건을 분석 순서로 재구성.</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공개 퀵코멘트·워드 재구성  ·  매수·매도 추천 아님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2026.8.21 시장 종합 레포트  ·  마이크론 150% · Dudley · 금리 · AI 금융화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8월 21일 종합 레포트 (마이크론 150%, Dudley, 금리)</dc:title>
  <dc:subject>마이크론 수요 150%·공동설계, Dudley/Buffett/CAPE, 금리, 반도체, 주주환원</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