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4B5563"/>
          <w:sz w:val="21"/>
        </w:rPr>
        <w:t>2026. 8. 19.  ·  당일 퀵코멘트 재구성  ·  시각화 보고서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color w:val="0F2043"/>
          <w:sz w:val="40"/>
        </w:rPr>
        <w:t>매크로의 역습  ·  원화 강세  ·  메모리의 양날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4B5563"/>
          <w:sz w:val="22"/>
        </w:rPr>
        <w:t>금리·환율이 할인해 놓은 자리 위에 하이닉스 환원, 삼성 파운드리, 마벨–구글, HBM 효율화 논쟁이 동시에 올라왔습니다.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오늘 한 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하락의 직접 원인은 AI 수요 붕괴가 아니라 할인율 + 차익실현입니다. 저녁 핵심은 달러-원이 국내 수급으로 1,400 아래를 먼저 깼다는 점.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1,520→1,420 가정 시 SK하이닉스 EPS 약 −5.9%, 27년 순익 300~400조이면 약 18~24조 조정. 2H26 환율 조정 16.3조 언급.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40조 소각은 3.3%(EPS +3.4%)이지 환원의 끝이 아닙니다. 25~27 FCF 385조 × 50% = 192.5조, 추가 152.5조. 2028년 102.5조는 정책이 아닙니다.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1E407C"/>
          <w:sz w:val="25"/>
        </w:rPr>
        <w:t>보고서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파트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가져갈 숫자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1 매크로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전쟁인가, 금리인가?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10년 4.7% vs 5.0%  ·  바이백 $20→40억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2 환율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왜 1,400 아래인가?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β 삼성 0.4 / SKH 0.9  ·  하단 1,360~1,340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3 환원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40조면 끝인가?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192.5조 하한  ·  3Q26 추가 안내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4 밸류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본주와 ADR 중 무엇을 믿나?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본주 4.3/3.4배  ·  ADR 프리미엄 52%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5 HBM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가격이 수요를 죽이나?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연산증가 − 효율개선  ·  26~28 vs 28+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6 마벨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브로드컴 독점의 균열?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워런트 58.97만주  ·  $206.58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7 파운드리·NVDA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비메모리 가격결정력?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파운드리 +10~15%  ·  Rubin 3Q26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8 소부장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익스포저를 어디에?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이수 Multi-Lam  ·  기가비스 수주</w:t>
            </w:r>
          </w:p>
        </w:tc>
      </w:tr>
    </w:tbl>
    <w:p>
      <w:pPr>
        <w:spacing w:after="120"/>
      </w:pP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1.  </w:t>
      </w:r>
      <w:r>
        <w:rPr>
          <w:rFonts w:ascii="맑은 고딕" w:hAnsi="맑은 고딕" w:eastAsia="맑은 고딕"/>
          <w:b/>
          <w:color w:val="0F2043"/>
          <w:sz w:val="30"/>
        </w:rPr>
        <w:t>매크로 — 전쟁 자체보다 금리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0F2043"/>
          <w:sz w:val="20"/>
        </w:rPr>
        <w:t>이란·호르무즈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유가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인플레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미 국채금리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고PER 할인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AI·반도체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5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le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51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15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안정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351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당일 인쇄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미 10년물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4.7% 이하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5.0% 돌파·고착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4.75 → 4.708 → 바이백 후 4.64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미 30년물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고점 이탈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5.3%대 고착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5.34 → 5.285 → 5.19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브렌트</w:t>
            </w:r>
          </w:p>
        </w:tc>
        <w:tc>
          <w:tcPr>
            <w:tcW w:type="dxa" w:w="215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$90 전후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$100+ 악순환</w:t>
            </w:r>
          </w:p>
        </w:tc>
        <w:tc>
          <w:tcPr>
            <w:tcW w:type="dxa" w:w="351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WTI $84대 (장초 코멘트)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USD/JPY</w:t>
            </w:r>
          </w:p>
        </w:tc>
        <w:tc>
          <w:tcPr>
            <w:tcW w:type="dxa" w:w="215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157~159 유지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159→155→150 급락</w:t>
            </w:r>
          </w:p>
        </w:tc>
        <w:tc>
          <w:tcPr>
            <w:tcW w:type="dxa" w:w="351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반등 = 2024.8형 아님</w:t>
            </w:r>
          </w:p>
        </w:tc>
      </w:tr>
    </w:tbl>
    <w:p>
      <w:pPr>
        <w:spacing w:after="12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y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7A5C12"/>
                <w:sz w:val="20"/>
              </w:rPr>
              <w:t>재무부 바이백 = 방어선, 해결책 아님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장기채 매입 $20억→$40억. 당장은 Treasury가 Fed 매파(7월 의사록 3명 인상)보다 금리를 눌렀습니다.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재정적자·인플레·AI 회사채 수요는 그대로입니다. 금리 하락만 보고 기술주를 사는 공식은 이번 세션에서 깨졌습니다(헬스케어 로테이션).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2024.8/5: Nikkei −19.5%, 코스피 −11.9%, 엔화 6%대 급등 후 8/6 즉시 반등 = 레버리지 청산.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현재 엔화가 반등 중이면 1차 충격은 엔캐리보다 글로벌 금리/밸류 압박.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FT 이란 기사: 유럽 공격 결정이 아니라, 확전 시 남동부 유럽 미군 시설·해저 인프라 옵션 검토.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2.  </w:t>
      </w:r>
      <w:r>
        <w:rPr>
          <w:rFonts w:ascii="맑은 고딕" w:hAnsi="맑은 고딕" w:eastAsia="맑은 고딕"/>
          <w:b/>
          <w:color w:val="0F2043"/>
          <w:sz w:val="30"/>
        </w:rPr>
        <w:t>환율 — 국내 수급이 먼저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0F2043"/>
          <w:sz w:val="20"/>
        </w:rPr>
        <w:t>법인세·설비 원화수요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수출 달러매도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헤지 비중 ↑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달러-원 하락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고환율 잔여 매도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하락 가속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25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2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98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9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ni_ad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407C"/>
                <w:sz w:val="20"/>
              </w:rPr>
              <w:t>민감도 산식 (원문 교정 포함)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원/달러 1,520→1,420 = -6.58%.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삼성전자 β 0.4 → EPS 약 2.6%.  SK하이닉스 β 0.9 → EPS 약 −5.9%.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27년 순익 300~400조 × 5.9% ≈ 17.8~23.7조. 코멘트 원문 ‘18~24조’와 일치.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원문 ‘삼성전자 민감도 → SK하이닉스 EPS +0.4%’는 표기 오타로 보고 삼성 0.4 / 하이닉스 0.9로 그렸습니다.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1,300원대 중반은 조건부: DXY만 3~4% 하락 시 약 1,360원, 한국 달러 공급 가세 시 1,340원대.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추가 하락의 핵심 변수는 달러. 인상 기대 되돌림 → DXY 99 → 96~97.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리스크: 외국인 국내주식 매도, 미국-이란/유가, 1,350 부근 달러 수요 증가.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수출주 원화약세 효과는 3Q에 가팔라진 강세의 역풍으로 전환될 수 있음.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3.  </w:t>
      </w:r>
      <w:r>
        <w:rPr>
          <w:rFonts w:ascii="맑은 고딕" w:hAnsi="맑은 고딕" w:eastAsia="맑은 고딕"/>
          <w:b/>
          <w:color w:val="0F2043"/>
          <w:sz w:val="30"/>
        </w:rPr>
        <w:t>SK하이닉스 주주환원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_retur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3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숫자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취득·소각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40조원  ·  전일 종가 1,662,000원 기준 약 24.07백만주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발행주식 대비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3.29%  ·  EPS +3.41% (주식수 감소)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기간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8/20~11/19  ·  62영업일  ·  약 6,452억원/일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정책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25~27 누적 FCF ‘50% 이상’ + 자사주·배당 병행. 특별배당 검토. 3Q26 구체화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현금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2Q 순현금 약 69조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구조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ADR 희석 → 소각 → SK스퀘어 지분율 복원</w:t>
            </w:r>
          </w:p>
        </w:tc>
      </w:tr>
    </w:tbl>
    <w:p>
      <w:pPr>
        <w:spacing w:after="12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h_fcf_lad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991B1B"/>
                <w:sz w:val="20"/>
              </w:rPr>
              <w:t>오해 금지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192.5조는 2027년 일시 지급이 아니라 3년 프로그램 누적 하한입니다.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2028년 102.5조는 회사 정책이 아니라 내부 FCF 모델에 50%를 적용한 참고치입니다.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내부 래더 179/242/237 → 보수 150/210/205 (합 565조)는 25~27 FCF 385조와 다른 프레임입니다. 섞어 쓰지 마세요.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키옥시아 8,000억엔 매입: 46,500→49,950 누적 +7.4%. 시황이 나쁘면 소폭이지만 매입 비중 이상은 상승.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샌디스크 $140억 한도 확대는 8/5~8/7 −15.1%와 겹침. +20%의 직접 원인이 아님. 8/13 Investor Day가 본반등.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4.  </w:t>
      </w:r>
      <w:r>
        <w:rPr>
          <w:rFonts w:ascii="맑은 고딕" w:hAnsi="맑은 고딕" w:eastAsia="맑은 고딕"/>
          <w:b/>
          <w:color w:val="0F2043"/>
          <w:sz w:val="30"/>
        </w:rPr>
        <w:t>밸류에이션 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2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r_premi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4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sung_ba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4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26Y OP / EPS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27Y OP / EPS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SKH 컨센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266조 / 346,000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392조 / 437,000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4.3 / 3.4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SKH 보수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250~260조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EPS 290~300K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27Y 5.1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삼성 컨센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391조 / 47,900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549조 / 67,200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5.2 / 3.7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삼성 보수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355~370조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EPS 43~45K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27Y 5.6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MU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주가 $937.11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CY27 EPS $150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F12M 7.5 / CY27 6.25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SNDK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주가 $1568.37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FY27 EPS $201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7.8배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407C"/>
                <w:sz w:val="20"/>
              </w:rPr>
              <w:t>ADR 52%는 과함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고가 $163.8 × 1390원 ≈ 228만 환산. 종가 $156.16(+0.3%).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정상 프리미엄 +20%면 본주 약 190만. 최근 30~35%면 175~169만.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26년 성장 0 + PER 6~7배: 하이닉스 208~242만, 삼성 28.7~33.5만.</w:t>
            </w:r>
          </w:p>
        </w:tc>
      </w:tr>
    </w:tbl>
    <w:p>
      <w:pPr>
        <w:spacing w:after="120"/>
      </w:pP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5.  </w:t>
      </w:r>
      <w:r>
        <w:rPr>
          <w:rFonts w:ascii="맑은 고딕" w:hAnsi="맑은 고딕" w:eastAsia="맑은 고딕"/>
          <w:b/>
          <w:color w:val="0F2043"/>
          <w:sz w:val="30"/>
        </w:rPr>
        <w:t>HBM 논쟁 — 가격결정력은 영구가 아니다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10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m_n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104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두 문장의 타당성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낮음: HBM이 비싸졌으니 메모리 수요가 곧 꺾인다.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높음: 가격이 높아질수록 AI 업계가 사용량을 줄이는 기술을 개발할 경제적 유인이 커진다.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핵심 변수 = AI 연산 증가율 − 메모리 효율 개선률.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가시성</w:t>
            </w:r>
          </w:p>
        </w:tc>
        <w:tc>
          <w:tcPr>
            <w:tcW w:type="dxa" w:w="57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Cerebras 온칩 SRAM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높음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HBM 의존 축소. 대체라기보다 특정 workload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Groq SRAM inference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높음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추론 특화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NVIDIA + Groq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높음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GPU 진영도 추론용 SRAM 채택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KV Cache 압축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높음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필요 HBM 용량 감소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HBF / SSD 계층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진행 중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분업. SRAM+HBM+DRAM+SSD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벤 톰슨 호르무즈 비유: 가격을 과도하게 올리면 고객은 장기적으로 공급망·기술을 바꾼다.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26~28년은 초과이익, 28년 이후는 효율화·대체를 촉진하는 양날. ‘지금 틀렸다’가 아니라 ‘영구 가정 금지’.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 시각이 헤게모니(메모리 vs 비메모리)로 퍼지면 수급이 버거워집니다.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6.  </w:t>
      </w:r>
      <w:r>
        <w:rPr>
          <w:rFonts w:ascii="맑은 고딕" w:hAnsi="맑은 고딕" w:eastAsia="맑은 고딕"/>
          <w:b/>
          <w:color w:val="0F2043"/>
          <w:sz w:val="30"/>
        </w:rPr>
        <w:t>Google × Marvell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960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vl_av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60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1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협력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7/29 커스텀 반도체 확대. AI 추론 + Storage + NIC + Memory Interface + Near-memory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워런트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최대 58.97만주  ·  행사가 $206.58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Vesting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Google Custom Products 매출 $500M마다 1 tranche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기간</w:t>
            </w:r>
          </w:p>
        </w:tc>
        <w:tc>
          <w:tcPr>
            <w:tcW w:type="dxa" w:w="81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FY2027 Q3 ~ FY2033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해석</w:t>
            </w:r>
          </w:p>
        </w:tc>
        <w:tc>
          <w:tcPr>
            <w:tcW w:type="dxa" w:w="816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장기 ASIC 계약. 브로드컴 TPU 독점 견제. 마벨 +7~10% / 브로드컴 −4%대</w:t>
            </w:r>
          </w:p>
        </w:tc>
      </w:tr>
    </w:tbl>
    <w:p>
      <w:pPr>
        <w:spacing w:after="120"/>
      </w:pP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7.  </w:t>
      </w:r>
      <w:r>
        <w:rPr>
          <w:rFonts w:ascii="맑은 고딕" w:hAnsi="맑은 고딕" w:eastAsia="맑은 고딕"/>
          <w:b/>
          <w:color w:val="0F2043"/>
          <w:sz w:val="30"/>
        </w:rPr>
        <w:t>삼성 파운드리 · NVIDIA / OpenAI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인상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배경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4nm SF4 중·미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10~15%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TSMC 첨단 포화, 중국 팹리스 해외 의존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4nm SF4 대만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5~10%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고객 지역별 차등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5nm SF5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10~15%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웨이퍼 기준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8nm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약 10%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레거시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평택 SF4: 퀄컴 + HBM 베이스다이 풀가동. 내년 흑자 전환 기대. 첨단 50%+, AI/HPC 30%+.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고객: 테슬라·애플·브로드컴, 엔비디아 추론칩, 구글 4nm 협의.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715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opena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0F2043"/>
          <w:sz w:val="20"/>
        </w:rPr>
        <w:t>NVIDIA 금융/지분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AI 기업·DC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GPU 구매</w:t>
      </w:r>
      <w:r>
        <w:rPr>
          <w:rFonts w:ascii="맑은 고딕" w:hAnsi="맑은 고딕" w:eastAsia="맑은 고딕"/>
          <w:b/>
          <w:color w:val="B8943A"/>
          <w:sz w:val="20"/>
        </w:rPr>
        <w:t xml:space="preserve">  →  </w:t>
      </w:r>
      <w:r>
        <w:rPr>
          <w:rFonts w:ascii="맑은 고딕" w:hAnsi="맑은 고딕" w:eastAsia="맑은 고딕"/>
          <w:b/>
          <w:color w:val="0F2043"/>
          <w:sz w:val="20"/>
        </w:rPr>
        <w:t>엔비디아 매출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Q3 YoY +90% → $108B, Q4 +77%여도 $120B. 절대액은 계속 증가.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Rubin 3Q26, 추론 35배, AI Factory 10배, 랙 $7~8.5M. Top5 2027 CAPEX ≥ $1T(+33%).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OpenAI Q2 $6.7B(+18%), 손실 $9.3B→$12.3B. 순환금융 논쟁 → SOX 단기 우려.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8.  </w:t>
      </w:r>
      <w:r>
        <w:rPr>
          <w:rFonts w:ascii="맑은 고딕" w:hAnsi="맑은 고딕" w:eastAsia="맑은 고딕"/>
          <w:b/>
          <w:color w:val="0F2043"/>
          <w:sz w:val="30"/>
        </w:rPr>
        <w:t>소부장 — 이수페타시스 · 기가비스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741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u_m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974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ga_lever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974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</w:t>
            </w:r>
          </w:p>
        </w:tc>
        <w:tc>
          <w:tcPr>
            <w:tcW w:type="dxa" w:w="328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</w:t>
            </w:r>
          </w:p>
        </w:tc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숫자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이수페타시스</w:t>
            </w:r>
          </w:p>
        </w:tc>
        <w:tc>
          <w:tcPr>
            <w:tcW w:type="dxa" w:w="328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Capa가 아니라 Multi-Lam 이익 레버리지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2Q 매출 3,799억(+4.9% beat) · OP 771억 · ML 7→11% · 판가 +15%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8"/>
              </w:rPr>
              <w:t>기가비스</w:t>
            </w:r>
          </w:p>
        </w:tc>
        <w:tc>
          <w:tcPr>
            <w:tcW w:type="dxa" w:w="328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FC-BGA의 눈(AOI)+수리공(AOR)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일본 수주 89.5억(17.1%) · 25 847/121 → 26E 1785/721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이수 Capa 월 1,200→1,500(27.2Q)→1,800억(28H2). 27년 OP +10% 여지. 멀티플 30.9→26.0배.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기가비스 컨센 TP 19만. 26년 실적 기준 비싸, 27년이 초점. 분할 접근 후보.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9.  </w:t>
      </w:r>
      <w:r>
        <w:rPr>
          <w:rFonts w:ascii="맑은 고딕" w:hAnsi="맑은 고딕" w:eastAsia="맑은 고딕"/>
          <w:b/>
          <w:color w:val="0F2043"/>
          <w:sz w:val="30"/>
        </w:rPr>
        <w:t>로테이션 · 기타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장기금리 하락 + 기술주 약세 = 헬스케어 피벗. 모더나 암백신 3상, NBI 신고가. 한국 바이오로 바로 이식은 조심.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다음 확인: 8/26 엔비디아 실적 — AI 심리 재점화 vs 로테이션 연장.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유니트리 PSR 155배(60배 프레임의 2.6배). 상업화 초기, 1Q 순익 −47.7%.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앤트로픽 매출 최대 $1,200억 / EV $2조 관측. LG엔솔 ESS, 한화 MTC, LS 사상최대.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  <w:sz w:val="21"/>
        </w:rPr>
        <w:t>국내기관 고민은 AI 이탈이 아니라 대형주 익스포저 vs 변압기/소부장 믹스.</w:t>
      </w:r>
    </w:p>
    <w:p>
      <w:pPr>
        <w:spacing w:before="240" w:after="120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color w:val="B8943A"/>
          <w:sz w:val="30"/>
        </w:rPr>
        <w:t xml:space="preserve">10.  </w:t>
      </w:r>
      <w:r>
        <w:rPr>
          <w:rFonts w:ascii="맑은 고딕" w:hAnsi="맑은 고딕" w:eastAsia="맑은 고딕"/>
          <w:b/>
          <w:color w:val="0F2043"/>
          <w:sz w:val="30"/>
        </w:rPr>
        <w:t>클로징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0F2043"/>
                <w:sz w:val="20"/>
              </w:rPr>
              <w:t>가져갈 세 문장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1) 오늘은 AI 수요 파괴가 아니라 할인율 + 차익실현 + 원화 강세가 겹친 날입니다.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2) 하이닉스 40조는 시작이고, 환율은 27년 순익에서 약 18~24조를 움직일 수 있습니다.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1A1A1A"/>
                <w:sz w:val="21"/>
              </w:rPr>
              <w:t>3) HBM 가격결정력을 영구로 두지 말 것. SRAM이 HBM을 지운다고 단정하지 말 것. 연산−효율과 2028년 이후를 보면 됩니다.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맑은 고딕" w:hAnsi="맑은 고딕" w:eastAsia="맑은 고딕"/>
          <w:b w:val="0"/>
          <w:color w:val="4B5563"/>
          <w:sz w:val="19"/>
        </w:rPr>
        <w:t>위 자료는 공개 퀵코멘트를 도표로 재구성한 참고용입니다. 매수·매도 추천이 아니며 투자 판단은 각 독자의 몫입니다.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 xml:space="preserve">공개 퀵코멘트 재구성  ·  매수·매도 추천 아님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8/19 시장상황 시각화 보고서  ·  매크로 · 환율 · 환원 · HBM · 마벨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시장상황 시각화 보고서</dc:title>
  <dc:subject>매크로, 환율, SK하이닉스 환원, HBM, 마벨, 파운드리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