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맑은 고딕" w:hAnsi="맑은 고딕" w:eastAsia="맑은 고딕"/>
          <w:b w:val="0"/>
          <w:color w:val="475569"/>
          <w:sz w:val="20"/>
        </w:rPr>
        <w:t>2026. 08. 19  |  QUICK COMMENT SYNTHESIS</w:t>
      </w:r>
    </w:p>
    <w:p>
      <w:pPr>
        <w:spacing w:after="20" w:before="0" w:line="276" w:lineRule="auto"/>
        <w:jc w:val="center"/>
      </w:pPr>
      <w:r>
        <w:rPr>
          <w:rFonts w:ascii="맑은 고딕" w:hAnsi="맑은 고딕" w:eastAsia="맑은 고딕"/>
          <w:b/>
          <w:color w:val="102A43"/>
          <w:sz w:val="46"/>
        </w:rPr>
        <w:t>시장·반도체·환율</w:t>
      </w:r>
    </w:p>
    <w:p>
      <w:pPr>
        <w:spacing w:after="140" w:before="0" w:line="276" w:lineRule="auto"/>
        <w:jc w:val="center"/>
      </w:pPr>
      <w:r>
        <w:rPr>
          <w:rFonts w:ascii="맑은 고딕" w:hAnsi="맑은 고딕" w:eastAsia="맑은 고딕"/>
          <w:b/>
          <w:color w:val="2563EB"/>
          <w:sz w:val="40"/>
        </w:rPr>
        <w:t>통합 브리핑</w:t>
      </w:r>
    </w:p>
    <w:p>
      <w:pPr>
        <w:spacing w:after="240" w:before="0" w:line="276" w:lineRule="auto"/>
        <w:jc w:val="center"/>
      </w:pPr>
      <w:r>
        <w:rPr>
          <w:rFonts w:ascii="맑은 고딕" w:hAnsi="맑은 고딕" w:eastAsia="맑은 고딕"/>
          <w:b w:val="0"/>
          <w:color w:val="475569"/>
          <w:sz w:val="22"/>
        </w:rPr>
        <w:t>매크로 충격 · AI/메모리 논쟁 · 주주환원 · 원/달러 민감도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7ED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보고서 사용법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제공된 퀵코멘트를 논리 흐름과 수치 가정 중심으로 재구성했습니다.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개별 뉴스·공시·증권사 추정치는 별도 사실 검증을 거치지 않았습니다. ‘원문 가정’으로 읽어야 합니다.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특히 주주환원·순익·환율 숫자는 지급 확정 또는 투자 권유가 아닌, 원문상 시나리오 계산입니다.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2563EB"/>
          <w:sz w:val="23"/>
        </w:rPr>
        <w:t>한 페이지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474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축</w:t>
            </w:r>
          </w:p>
        </w:tc>
        <w:tc>
          <w:tcPr>
            <w:tcW w:type="dxa" w:w="5102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판단</w:t>
            </w:r>
          </w:p>
        </w:tc>
        <w:tc>
          <w:tcPr>
            <w:tcW w:type="dxa" w:w="3402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다음 확인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매크로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전쟁 자체보다 유가 → 장기금리 → 성장주 할인율 경로가 단기 주가를 좌우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미 10년물 4.7% 안정 vs. 5% 고착</w:t>
            </w:r>
          </w:p>
        </w:tc>
      </w:tr>
      <w:tr>
        <w:tc>
          <w:tcPr>
            <w:tcW w:type="dxa" w:w="1474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반도체</w:t>
            </w:r>
          </w:p>
        </w:tc>
        <w:tc>
          <w:tcPr>
            <w:tcW w:type="dxa" w:w="510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AI 수요 훼손보다 HBM 가격·효율화·대체 기술의 장기 균형이 쟁점</w:t>
            </w:r>
          </w:p>
        </w:tc>
        <w:tc>
          <w:tcPr>
            <w:tcW w:type="dxa" w:w="340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AI 연산 증가율 − 메모리 효율 개선률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SK하이닉스</w:t>
            </w:r>
          </w:p>
        </w:tc>
        <w:tc>
          <w:tcPr>
            <w:tcW w:type="dxa" w:w="510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원문 가정상 대규모 매입·소각과 FCF 50% 이상 환원이 재평가 재료</w:t>
            </w:r>
          </w:p>
        </w:tc>
        <w:tc>
          <w:tcPr>
            <w:tcW w:type="dxa" w:w="340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3Q 추가 환원 방식·규모, 실행 진척</w:t>
            </w:r>
          </w:p>
        </w:tc>
      </w:tr>
      <w:tr>
        <w:tc>
          <w:tcPr>
            <w:tcW w:type="dxa" w:w="1474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환율</w:t>
            </w:r>
          </w:p>
        </w:tc>
        <w:tc>
          <w:tcPr>
            <w:tcW w:type="dxa" w:w="510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국내 달러 공급과 달러인덱스가 함께 작용; 원화 강세는 수출주 EPS 역풍</w:t>
            </w:r>
          </w:p>
        </w:tc>
        <w:tc>
          <w:tcPr>
            <w:tcW w:type="dxa" w:w="340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DXY, 외국인 수급, 유가, 1,350원대 달러수요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811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1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/>
      </w:pPr>
      <w:r>
        <w:rPr>
          <w:rFonts w:ascii="맑은 고딕" w:hAnsi="맑은 고딕" w:eastAsia="맑은 고딕"/>
          <w:b/>
          <w:color w:val="B7791F"/>
          <w:sz w:val="30"/>
        </w:rPr>
        <w:t xml:space="preserve">1.  </w:t>
      </w:r>
      <w:r>
        <w:rPr>
          <w:rFonts w:ascii="맑은 고딕" w:hAnsi="맑은 고딕" w:eastAsia="맑은 고딕"/>
          <w:b/>
          <w:color w:val="102A43"/>
          <w:sz w:val="30"/>
        </w:rPr>
        <w:t>매크로: ‘전쟁’보다 유가와 장기금리</w:t>
      </w:r>
    </w:p>
    <w:p>
      <w:pPr>
        <w:spacing w:after="10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  <w:t>원문은 최근 위험자산 조정을 AI 펀더멘털 훼손보다 ‘미·이란 불확실성 → 유가 → 인플레이션 우려 → 장기금리’의 할인율 충격으로 해석합니다. 단, 이는 인과관계의 하나의 해석이며 시장 하락을 단일 변수로 설명할 수는 없습니다.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1652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transmi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520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041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관찰 구간</w:t>
            </w:r>
          </w:p>
        </w:tc>
        <w:tc>
          <w:tcPr>
            <w:tcW w:type="dxa" w:w="3118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4819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반도체/성장주 함의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미 10년물 ≤ 4.7%</w:t>
            </w:r>
          </w:p>
        </w:tc>
        <w:tc>
          <w:tcPr>
            <w:tcW w:type="dxa" w:w="3118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할인율 부담 완화 가능</w:t>
            </w:r>
          </w:p>
        </w:tc>
        <w:tc>
          <w:tcPr>
            <w:tcW w:type="dxa" w:w="481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밸류에이션 압력 완화; 실적·수급이 주도</w:t>
            </w:r>
          </w:p>
        </w:tc>
      </w:tr>
      <w:tr>
        <w:tc>
          <w:tcPr>
            <w:tcW w:type="dxa" w:w="2041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미 10년물 4.7~5.0%</w:t>
            </w:r>
          </w:p>
        </w:tc>
        <w:tc>
          <w:tcPr>
            <w:tcW w:type="dxa" w:w="3118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경계 구간</w:t>
            </w:r>
          </w:p>
        </w:tc>
        <w:tc>
          <w:tcPr>
            <w:tcW w:type="dxa" w:w="481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금리·AI CAPEX·실적을 함께 확인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미 10년물 &gt; 5.0% 고착</w:t>
            </w:r>
          </w:p>
        </w:tc>
        <w:tc>
          <w:tcPr>
            <w:tcW w:type="dxa" w:w="3118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원문상 위험 경보</w:t>
            </w:r>
          </w:p>
        </w:tc>
        <w:tc>
          <w:tcPr>
            <w:tcW w:type="dxa" w:w="481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장기 이익 의존 업종의 멀티플 조정 위험</w:t>
            </w:r>
          </w:p>
        </w:tc>
      </w:tr>
      <w:tr>
        <w:tc>
          <w:tcPr>
            <w:tcW w:type="dxa" w:w="2041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브렌트유 $90 부근</w:t>
            </w:r>
          </w:p>
        </w:tc>
        <w:tc>
          <w:tcPr>
            <w:tcW w:type="dxa" w:w="3118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안정 여부 확인</w:t>
            </w:r>
          </w:p>
        </w:tc>
        <w:tc>
          <w:tcPr>
            <w:tcW w:type="dxa" w:w="481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인플레 기대가 재점화되지 않는지 점검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브렌트유 $100 이상</w:t>
            </w:r>
          </w:p>
        </w:tc>
        <w:tc>
          <w:tcPr>
            <w:tcW w:type="dxa" w:w="3118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유가발 악순환 위험</w:t>
            </w:r>
          </w:p>
        </w:tc>
        <w:tc>
          <w:tcPr>
            <w:tcW w:type="dxa" w:w="481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금리·리스크 프리미엄 동반 상승 가능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1FB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2563EB"/>
                <w:sz w:val="20"/>
              </w:rPr>
              <w:t>실전 프레임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금리가 내려도 기술주가 반드시 오르지는 않습니다. 원문이 지적하듯 AI/반도체 차익실현과 헬스케어 등으로의 섹터 로테이션이 금리 효과를 상쇄할 수 있습니다.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따라서 ‘금리 방향’만이 아니라, AI 주도주에서의 자금 유출입과 엔비디아 등 핵심 실적 이벤트를 동시 관찰해야 합니다.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before="260" w:after="120"/>
      </w:pPr>
      <w:r>
        <w:rPr>
          <w:rFonts w:ascii="맑은 고딕" w:hAnsi="맑은 고딕" w:eastAsia="맑은 고딕"/>
          <w:b/>
          <w:color w:val="B7791F"/>
          <w:sz w:val="30"/>
        </w:rPr>
        <w:t xml:space="preserve">2.  </w:t>
      </w:r>
      <w:r>
        <w:rPr>
          <w:rFonts w:ascii="맑은 고딕" w:hAnsi="맑은 고딕" w:eastAsia="맑은 고딕"/>
          <w:b/>
          <w:color w:val="102A43"/>
          <w:sz w:val="30"/>
        </w:rPr>
        <w:t>환율: 국내 달러 공급과 수출주 EPS</w:t>
      </w:r>
    </w:p>
    <w:p>
      <w:pPr>
        <w:spacing w:after="10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  <w:t>원문은 1,400원 하향의 1차 동인으로 달러인덱스보다 국내 수급(법인세 납부·설비투자·수출기업 매도·환헤지)을 제시합니다. 추가 하락은 연준 기대 변화에 따른 DXY 99→96~97 가능성과 결합될 때라는 조건부 전망입니다.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712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22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381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원문상 가정</w:t>
            </w:r>
          </w:p>
        </w:tc>
        <w:tc>
          <w:tcPr>
            <w:tcW w:type="dxa" w:w="3061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계산</w:t>
            </w:r>
          </w:p>
        </w:tc>
        <w:tc>
          <w:tcPr>
            <w:tcW w:type="dxa" w:w="4535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2381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원/달러 1,520 → 1,420</w:t>
            </w:r>
          </w:p>
        </w:tc>
        <w:tc>
          <w:tcPr>
            <w:tcW w:type="dxa" w:w="3061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-100원 / -6.58%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원화 강세 시나리오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삼성전자 환율 민감도</w:t>
            </w:r>
          </w:p>
        </w:tc>
        <w:tc>
          <w:tcPr>
            <w:tcW w:type="dxa" w:w="3061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원/달러 +1% → EPS +0.4%</w:t>
            </w:r>
          </w:p>
        </w:tc>
        <w:tc>
          <w:tcPr>
            <w:tcW w:type="dxa" w:w="453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원화 강세 시 EPS 약 -2.6% (기계적 계산)</w:t>
            </w:r>
          </w:p>
        </w:tc>
      </w:tr>
      <w:tr>
        <w:tc>
          <w:tcPr>
            <w:tcW w:type="dxa" w:w="2381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SK하이닉스 환율 민감도</w:t>
            </w:r>
          </w:p>
        </w:tc>
        <w:tc>
          <w:tcPr>
            <w:tcW w:type="dxa" w:w="3061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원/달러 +1% → EPS +0.9%</w:t>
            </w:r>
          </w:p>
        </w:tc>
        <w:tc>
          <w:tcPr>
            <w:tcW w:type="dxa" w:w="453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원화 강세 시 EPS 약 -5.9% (기계적 계산)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SK하이닉스 이익 조정</w:t>
            </w:r>
          </w:p>
        </w:tc>
        <w:tc>
          <w:tcPr>
            <w:tcW w:type="dxa" w:w="3061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27년 순익 300~400조 × -5.9%</w:t>
            </w:r>
          </w:p>
        </w:tc>
        <w:tc>
          <w:tcPr>
            <w:tcW w:type="dxa" w:w="453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약 -18~24조원; 원문 시나리오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EF2F2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B91C1C"/>
                <w:sz w:val="20"/>
              </w:rPr>
              <w:t>표기 오류·한계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제공문에는 ‘삼성전자 환율 민감도’ 문장에 SK하이닉스가 반복 표기된 불일치가 있습니다. 본 보고서는 문맥에 맞춰 삼성전자 0.4%, SK하이닉스 0.9%를 입력값으로 처리했습니다.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민감도는 매출 통화, 헤지, 원가 구조, 기간별 환율 평균에 따라 달라집니다. EPS 변화를 실제 실적 전망치 변경으로 바로 전환하면 안 됩니다.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989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원화 추가 강세의 촉매</w:t>
            </w:r>
          </w:p>
        </w:tc>
        <w:tc>
          <w:tcPr>
            <w:tcW w:type="dxa" w:w="4989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원화 강세의 제약/리스크</w:t>
            </w:r>
          </w:p>
        </w:tc>
      </w:tr>
      <w:tr>
        <w:tc>
          <w:tcPr>
            <w:tcW w:type="dxa" w:w="498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DXY 3~4% 하락, 연준 인상 기대 되돌림</w:t>
            </w:r>
          </w:p>
        </w:tc>
        <w:tc>
          <w:tcPr>
            <w:tcW w:type="dxa" w:w="498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외국인 국내주식 매도 확대</w:t>
            </w:r>
          </w:p>
        </w:tc>
      </w:tr>
      <w:tr>
        <w:tc>
          <w:tcPr>
            <w:tcW w:type="dxa" w:w="4989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국내 달러 공급·수출기업 매도 지속</w:t>
            </w:r>
          </w:p>
        </w:tc>
        <w:tc>
          <w:tcPr>
            <w:tcW w:type="dxa" w:w="498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미·이란 갈등 및 유가 상승</w:t>
            </w:r>
          </w:p>
        </w:tc>
      </w:tr>
      <w:tr>
        <w:tc>
          <w:tcPr>
            <w:tcW w:type="dxa" w:w="498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원문상 하단: 1,360원, 강한 수급이면 1,340원대</w:t>
            </w:r>
          </w:p>
        </w:tc>
        <w:tc>
          <w:tcPr>
            <w:tcW w:type="dxa" w:w="498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1,350원 부근 달러 수요 증가 가능성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before="260" w:after="120"/>
      </w:pPr>
      <w:r>
        <w:rPr>
          <w:rFonts w:ascii="맑은 고딕" w:hAnsi="맑은 고딕" w:eastAsia="맑은 고딕"/>
          <w:b/>
          <w:color w:val="B7791F"/>
          <w:sz w:val="30"/>
        </w:rPr>
        <w:t xml:space="preserve">3.  </w:t>
      </w:r>
      <w:r>
        <w:rPr>
          <w:rFonts w:ascii="맑은 고딕" w:hAnsi="맑은 고딕" w:eastAsia="맑은 고딕"/>
          <w:b/>
          <w:color w:val="102A43"/>
          <w:sz w:val="30"/>
        </w:rPr>
        <w:t>AI 메모리: ‘수요 붕괴’가 아니라 효율화 유인의 문제</w:t>
      </w:r>
    </w:p>
    <w:p>
      <w:pPr>
        <w:spacing w:after="10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  <w:t>캐시 우드·벤 톰슨으로 요약된 원문의 반론은 ‘HBM 가격 상승이 당장 메모리 수요를 꺾는다’가 아닙니다. 가격이 높을수록 고객이 메모리 의존도를 낮추는 설계·압축·ASIC·계층화에 투자할 경제적 유인이 커진다는 장기 경고입니다.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7060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effici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060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984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논점</w:t>
            </w:r>
          </w:p>
        </w:tc>
        <w:tc>
          <w:tcPr>
            <w:tcW w:type="dxa" w:w="4082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원문상 판단</w:t>
            </w:r>
          </w:p>
        </w:tc>
        <w:tc>
          <w:tcPr>
            <w:tcW w:type="dxa" w:w="3912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투자 해석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HBM 가격 급등</w:t>
            </w:r>
          </w:p>
        </w:tc>
        <w:tc>
          <w:tcPr>
            <w:tcW w:type="dxa" w:w="408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2026~28년 초과이익을 만들 수 있음</w:t>
            </w:r>
          </w:p>
        </w:tc>
        <w:tc>
          <w:tcPr>
            <w:tcW w:type="dxa" w:w="391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단기 실적 호재</w:t>
            </w:r>
          </w:p>
        </w:tc>
      </w:tr>
      <w:tr>
        <w:tc>
          <w:tcPr>
            <w:tcW w:type="dxa" w:w="1984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SRAM vs HBM</w:t>
            </w:r>
          </w:p>
        </w:tc>
        <w:tc>
          <w:tcPr>
            <w:tcW w:type="dxa" w:w="408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완전 대체보다 workload별 분업</w:t>
            </w:r>
          </w:p>
        </w:tc>
        <w:tc>
          <w:tcPr>
            <w:tcW w:type="dxa" w:w="391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SRAM + HBM + DRAM + SSD 계층화</w:t>
            </w:r>
          </w:p>
        </w:tc>
      </w:tr>
      <w:tr>
        <w:tc>
          <w:tcPr>
            <w:tcW w:type="dxa" w:w="198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대체/효율화</w:t>
            </w:r>
          </w:p>
        </w:tc>
        <w:tc>
          <w:tcPr>
            <w:tcW w:type="dxa" w:w="408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Cerebras·Groq, KV cache 압축, SSD/HBF 활용</w:t>
            </w:r>
          </w:p>
        </w:tc>
        <w:tc>
          <w:tcPr>
            <w:tcW w:type="dxa" w:w="391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28년 이후 구조적 가격결정력 리스크</w:t>
            </w:r>
          </w:p>
        </w:tc>
      </w:tr>
      <w:tr>
        <w:tc>
          <w:tcPr>
            <w:tcW w:type="dxa" w:w="1984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핵심 식</w:t>
            </w:r>
          </w:p>
        </w:tc>
        <w:tc>
          <w:tcPr>
            <w:tcW w:type="dxa" w:w="408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AI 연산 증가율 − 메모리 효율 개선률</w:t>
            </w:r>
          </w:p>
        </w:tc>
        <w:tc>
          <w:tcPr>
            <w:tcW w:type="dxa" w:w="391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양(+)이면 수요 증가, 음(-)이면 증가세 둔화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DF5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균형 잡힌 결론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SRAM이 HBM을 한 번에 대체한다는 해석은 과도합니다. 최신 추론 시스템은 메모리 계층을 최적 조합하는 방향으로 발전합니다.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다만 높은 HBM 가격이 영구적이라는 전제를 밸류에이션에 그대로 넣는 것도 위험합니다. ‘현재 실적’과 ‘장기 가격결정력’을 분리해야 합니다.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before="260" w:after="120"/>
      </w:pPr>
      <w:r>
        <w:rPr>
          <w:rFonts w:ascii="맑은 고딕" w:hAnsi="맑은 고딕" w:eastAsia="맑은 고딕"/>
          <w:b/>
          <w:color w:val="B7791F"/>
          <w:sz w:val="30"/>
        </w:rPr>
        <w:t xml:space="preserve">4.  </w:t>
      </w:r>
      <w:r>
        <w:rPr>
          <w:rFonts w:ascii="맑은 고딕" w:hAnsi="맑은 고딕" w:eastAsia="맑은 고딕"/>
          <w:b/>
          <w:color w:val="102A43"/>
          <w:sz w:val="30"/>
        </w:rPr>
        <w:t>SK하이닉스 주주환원: 원문 가정의 산술과 확인 항목</w:t>
      </w:r>
    </w:p>
    <w:p>
      <w:pPr>
        <w:spacing w:after="10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  <w:t>원문은 40조원 자사주 취득·소각과 2025~27년 누적 FCF의 ‘50% 이상’ 환원을 핵심 재평가 요인으로 제시합니다. 아래 그래프는 원문에 등장한 385조원 누적 FCF 가정을 그대로 적용한 산술이며, 실제 지급 시기·형태를 나타내지 않습니다.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750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504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928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139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원문 수치/계산</w:t>
            </w:r>
          </w:p>
        </w:tc>
        <w:tc>
          <w:tcPr>
            <w:tcW w:type="dxa" w:w="3912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해석상 주의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기발표 매입·소각</w:t>
            </w:r>
          </w:p>
        </w:tc>
        <w:tc>
          <w:tcPr>
            <w:tcW w:type="dxa" w:w="413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40조원, 발행주식 대비 약 3.3%라는 원문 서술</w:t>
            </w:r>
          </w:p>
        </w:tc>
        <w:tc>
          <w:tcPr>
            <w:tcW w:type="dxa" w:w="391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공시 원문과 주식수·취득기간 재확인 필요</w:t>
            </w:r>
          </w:p>
        </w:tc>
      </w:tr>
      <w:tr>
        <w:tc>
          <w:tcPr>
            <w:tcW w:type="dxa" w:w="1928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누적 FCF 가정</w:t>
            </w:r>
          </w:p>
        </w:tc>
        <w:tc>
          <w:tcPr>
            <w:tcW w:type="dxa" w:w="413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2025~27년 약 385조원</w:t>
            </w:r>
          </w:p>
        </w:tc>
        <w:tc>
          <w:tcPr>
            <w:tcW w:type="dxa" w:w="391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FCF 정의·운전자본·CAPEX 가정에 민감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50% 이상 환원 산술</w:t>
            </w:r>
          </w:p>
        </w:tc>
        <w:tc>
          <w:tcPr>
            <w:tcW w:type="dxa" w:w="413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385조 × 50% = 192.5조원 이상</w:t>
            </w:r>
          </w:p>
        </w:tc>
        <w:tc>
          <w:tcPr>
            <w:tcW w:type="dxa" w:w="391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프로그램 기간 누적 기준; 2027년 단일 지급 아님</w:t>
            </w:r>
          </w:p>
        </w:tc>
      </w:tr>
      <w:tr>
        <w:tc>
          <w:tcPr>
            <w:tcW w:type="dxa" w:w="1928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추가 환원 산술</w:t>
            </w:r>
          </w:p>
        </w:tc>
        <w:tc>
          <w:tcPr>
            <w:tcW w:type="dxa" w:w="413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192.5조 − 40조 = 약 152.5조원</w:t>
            </w:r>
          </w:p>
        </w:tc>
        <w:tc>
          <w:tcPr>
            <w:tcW w:type="dxa" w:w="391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배당·추가 매입·특별배당의 배분은 미확정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EF2F2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B91C1C"/>
                <w:sz w:val="20"/>
              </w:rPr>
              <w:t>핵심 정정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‘2028년 FCF의 50%도 환원한다’는 결론은 제공문 스스로 부정합니다. 2028년 주주환원은 별도 정책이 필요합니다.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원문 안에서도 FCF·순익 규모 및 회사명 표기에 혼재가 있으므로, 투자 판단 전 DART 공시와 회사 IR 원문을 기준으로 재검증해야 합니다.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before="260" w:after="120"/>
      </w:pPr>
      <w:r>
        <w:rPr>
          <w:rFonts w:ascii="맑은 고딕" w:hAnsi="맑은 고딕" w:eastAsia="맑은 고딕"/>
          <w:b/>
          <w:color w:val="B7791F"/>
          <w:sz w:val="30"/>
        </w:rPr>
        <w:t xml:space="preserve">5.  </w:t>
      </w:r>
      <w:r>
        <w:rPr>
          <w:rFonts w:ascii="맑은 고딕" w:hAnsi="맑은 고딕" w:eastAsia="맑은 고딕"/>
          <w:b/>
          <w:color w:val="102A43"/>
          <w:sz w:val="30"/>
        </w:rPr>
        <w:t>반도체·AI 관련 종목: 촉매와 반증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814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4139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원문상 긍정 촉매</w:t>
            </w:r>
          </w:p>
        </w:tc>
        <w:tc>
          <w:tcPr>
            <w:tcW w:type="dxa" w:w="4025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반증/체크포인트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SK하이닉스</w:t>
            </w:r>
          </w:p>
        </w:tc>
        <w:tc>
          <w:tcPr>
            <w:tcW w:type="dxa" w:w="413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대규모 소각·FCF 환원 강화·HBM 수요</w:t>
            </w:r>
          </w:p>
        </w:tc>
        <w:tc>
          <w:tcPr>
            <w:tcW w:type="dxa" w:w="402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환율 역풍, HBM 효율화, 환원 실행 세부안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삼성전자</w:t>
            </w:r>
          </w:p>
        </w:tc>
        <w:tc>
          <w:tcPr>
            <w:tcW w:type="dxa" w:w="413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SF4 등 파운드리 단가 인상·고객 분산</w:t>
            </w:r>
          </w:p>
        </w:tc>
        <w:tc>
          <w:tcPr>
            <w:tcW w:type="dxa" w:w="402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수율·가동률·실제 수주와 손익 전환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Marvell</w:t>
            </w:r>
          </w:p>
        </w:tc>
        <w:tc>
          <w:tcPr>
            <w:tcW w:type="dxa" w:w="413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Google TPU 생태계 내 커스텀 ASIC 영역 확대</w:t>
            </w:r>
          </w:p>
        </w:tc>
        <w:tc>
          <w:tcPr>
            <w:tcW w:type="dxa" w:w="402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Broadcom 대체 강도·워런트 조건·매출 전환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이수페타시스</w:t>
            </w:r>
          </w:p>
        </w:tc>
        <w:tc>
          <w:tcPr>
            <w:tcW w:type="dxa" w:w="4139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Multi-Lam 믹스, CAPA·판가 인상</w:t>
            </w:r>
          </w:p>
        </w:tc>
        <w:tc>
          <w:tcPr>
            <w:tcW w:type="dxa" w:w="402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수율 안정화·고객 ASP·CAPEX 지속성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기가비스</w:t>
            </w:r>
          </w:p>
        </w:tc>
        <w:tc>
          <w:tcPr>
            <w:tcW w:type="dxa" w:w="413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FC-BGA 고사양화 및 검사·수리장비 수주</w:t>
            </w:r>
          </w:p>
        </w:tc>
        <w:tc>
          <w:tcPr>
            <w:tcW w:type="dxa" w:w="402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글로벌 기판업체 CAPEX와 계약 매출화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after="100" w:before="0" w:line="276" w:lineRule="auto"/>
        <w:jc w:val="left"/>
      </w:pPr>
      <w:r>
        <w:rPr>
          <w:rFonts w:ascii="맑은 고딕" w:hAnsi="맑은 고딕" w:eastAsia="맑은 고딕"/>
          <w:b/>
          <w:color w:val="102A43"/>
          <w:sz w:val="21"/>
        </w:rPr>
        <w:t>공통적으로 ‘AI CAPEX가 계속된다’는 내러티브만으로 충분하지 않습니다. 각 기업은 주문·믹스·수율·가동률·현금환원처럼 확인 가능한 지표로 다음 단계에 진입했는지 봐야 합니다.</w:t>
      </w:r>
    </w:p>
    <w:p>
      <w:pPr>
        <w:spacing w:before="260" w:after="120"/>
      </w:pPr>
      <w:r>
        <w:rPr>
          <w:rFonts w:ascii="맑은 고딕" w:hAnsi="맑은 고딕" w:eastAsia="맑은 고딕"/>
          <w:b/>
          <w:color w:val="B7791F"/>
          <w:sz w:val="30"/>
        </w:rPr>
        <w:t xml:space="preserve">6.  </w:t>
      </w:r>
      <w:r>
        <w:rPr>
          <w:rFonts w:ascii="맑은 고딕" w:hAnsi="맑은 고딕" w:eastAsia="맑은 고딕"/>
          <w:b/>
          <w:color w:val="102A43"/>
          <w:sz w:val="30"/>
        </w:rPr>
        <w:t>모니터링 대시보드와 시나리오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3640" cy="2811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114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020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4365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주간 확인 지표</w:t>
            </w:r>
          </w:p>
        </w:tc>
        <w:tc>
          <w:tcPr>
            <w:tcW w:type="dxa" w:w="4592"/>
            <w:shd w:fill="102A43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판단 기준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1</w:t>
            </w:r>
          </w:p>
        </w:tc>
        <w:tc>
          <w:tcPr>
            <w:tcW w:type="dxa" w:w="436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미 10년물·브렌트유</w:t>
            </w:r>
          </w:p>
        </w:tc>
        <w:tc>
          <w:tcPr>
            <w:tcW w:type="dxa" w:w="459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4.7% 하회 안정 / 5% 고착 여부, $90·$100 레벨</w:t>
            </w:r>
          </w:p>
        </w:tc>
      </w:tr>
      <w:tr>
        <w:tc>
          <w:tcPr>
            <w:tcW w:type="dxa" w:w="1020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2</w:t>
            </w:r>
          </w:p>
        </w:tc>
        <w:tc>
          <w:tcPr>
            <w:tcW w:type="dxa" w:w="436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DXY·원/달러·외국인 수급</w:t>
            </w:r>
          </w:p>
        </w:tc>
        <w:tc>
          <w:tcPr>
            <w:tcW w:type="dxa" w:w="459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국내 달러 공급의 지속성과 1,350원대 수요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3</w:t>
            </w:r>
          </w:p>
        </w:tc>
        <w:tc>
          <w:tcPr>
            <w:tcW w:type="dxa" w:w="436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엔/달러·일본 장기금리</w:t>
            </w:r>
          </w:p>
        </w:tc>
        <w:tc>
          <w:tcPr>
            <w:tcW w:type="dxa" w:w="459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급격한 엔화 강세가 동반되면 엔캐리 청산 위험 재평가</w:t>
            </w:r>
          </w:p>
        </w:tc>
      </w:tr>
      <w:tr>
        <w:tc>
          <w:tcPr>
            <w:tcW w:type="dxa" w:w="1020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4</w:t>
            </w:r>
          </w:p>
        </w:tc>
        <w:tc>
          <w:tcPr>
            <w:tcW w:type="dxa" w:w="436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AI CAPEX·엔비디아/하이퍼스케일러 가이던스</w:t>
            </w:r>
          </w:p>
        </w:tc>
        <w:tc>
          <w:tcPr>
            <w:tcW w:type="dxa" w:w="459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매출 성장·마진·Rubin 램프·자금조달</w:t>
            </w:r>
          </w:p>
        </w:tc>
      </w:tr>
      <w:tr>
        <w:tc>
          <w:tcPr>
            <w:tcW w:type="dxa" w:w="1020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5</w:t>
            </w:r>
          </w:p>
        </w:tc>
        <w:tc>
          <w:tcPr>
            <w:tcW w:type="dxa" w:w="4365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HBM 가격·고객 효율화 신호</w:t>
            </w:r>
          </w:p>
        </w:tc>
        <w:tc>
          <w:tcPr>
            <w:tcW w:type="dxa" w:w="4592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수요 증가율이 효율 개선을 계속 웃도는지</w:t>
            </w:r>
          </w:p>
        </w:tc>
      </w:tr>
      <w:tr>
        <w:tc>
          <w:tcPr>
            <w:tcW w:type="dxa" w:w="1020"/>
            <w:shd w:fill="F1F5F9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72033"/>
                <w:sz w:val="17"/>
              </w:rPr>
              <w:t>6</w:t>
            </w:r>
          </w:p>
        </w:tc>
        <w:tc>
          <w:tcPr>
            <w:tcW w:type="dxa" w:w="4365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SK하이닉스 3Q 환원 세부안</w:t>
            </w:r>
          </w:p>
        </w:tc>
        <w:tc>
          <w:tcPr>
            <w:tcW w:type="dxa" w:w="4592"/>
            <w:shd w:fill="F1F5F9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72033"/>
                <w:sz w:val="17"/>
              </w:rPr>
              <w:t>40조 실행, 배당/추가 매입 규모, FCF 정의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1FB"/>
          </w:tcPr>
          <w:p>
            <w:pPr>
              <w:spacing w:after="0" w:before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02A43"/>
                <w:sz w:val="20"/>
              </w:rPr>
              <w:t>최종 결론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단기 시장은 ‘유가발 금리 쇼크’가 완화되는지에 좌우될 가능성이 높습니다. AI·메모리의 펀더멘털 논쟁은 실적보다 오래 지속될 구조적 이슈입니다.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환율은 실적 상향의 역풍이 될 수 있고, 주주환원은 할인율을 낮추는 방어 재료가 될 수 있습니다. 둘을 같은 방향의 호재로 단순화하지 않는 것이 중요합니다.</w:t>
            </w:r>
          </w:p>
          <w:p>
            <w:pPr>
              <w:spacing w:after="20" w:line="264" w:lineRule="auto"/>
            </w:pPr>
            <w:r>
              <w:rPr>
                <w:rFonts w:ascii="맑은 고딕" w:hAnsi="맑은 고딕" w:eastAsia="맑은 고딕"/>
                <w:b w:val="0"/>
                <w:color w:val="172033"/>
                <w:sz w:val="19"/>
              </w:rPr>
              <w:t>본 문서는 매수·매도 추천이 아닙니다. 원문 수치와 해석을 압축한 의사결정용 체크리스트입니다.</w:t>
            </w:r>
          </w:p>
        </w:tc>
      </w:tr>
    </w:tbl>
    <w:p>
      <w:pPr>
        <w:spacing w:after="40" w:before="0" w:line="276" w:lineRule="auto"/>
        <w:jc w:val="left"/>
      </w:pPr>
      <w:r>
        <w:rPr>
          <w:rFonts w:ascii="맑은 고딕" w:hAnsi="맑은 고딕" w:eastAsia="맑은 고딕"/>
          <w:b w:val="0"/>
          <w:color w:val="172033"/>
          <w:sz w:val="21"/>
        </w:rPr>
      </w:r>
    </w:p>
    <w:p>
      <w:pPr>
        <w:spacing w:after="100" w:before="200" w:line="276" w:lineRule="auto"/>
        <w:jc w:val="right"/>
      </w:pPr>
      <w:r>
        <w:rPr>
          <w:rFonts w:ascii="맑은 고딕" w:hAnsi="맑은 고딕" w:eastAsia="맑은 고딕"/>
          <w:b w:val="0"/>
          <w:color w:val="475569"/>
          <w:sz w:val="16"/>
        </w:rPr>
        <w:t>작성 기준: 사용자가 제공한 2026년 8월 19일 퀵코멘트. 외부 링크·공시·뉴스는 본 문서에서 독립 검증하지 않음.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75569"/>
        <w:sz w:val="16"/>
      </w:rPr>
      <w:t xml:space="preserve">원문 퀵코멘트 기반 시나리오 보고서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75569"/>
        <w:sz w:val="17"/>
      </w:rPr>
      <w:t>2026.08.19  |  MARKET &amp; SEMICONDUCTOR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19일 시장·반도체·환율 통합 브리핑</dc:title>
  <dc:subject>원문 퀵코멘트 재구성 보고서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