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맑은 고딕" w:hAnsi="맑은 고딕" w:eastAsia="맑은 고딕"/>
          <w:b/>
          <w:color w:val="B8943A"/>
          <w:sz w:val="22"/>
        </w:rPr>
        <w:t>퀵코멘트 · 방송 녹취 증류</w:t>
      </w:r>
    </w:p>
    <w:p>
      <w:pPr>
        <w:spacing w:before="0" w:after="40" w:line="276" w:lineRule="auto"/>
        <w:jc w:val="center"/>
      </w:pPr>
      <w:r>
        <w:rPr>
          <w:rFonts w:ascii="맑은 고딕" w:hAnsi="맑은 고딕" w:eastAsia="맑은 고딕"/>
          <w:b/>
          <w:color w:val="0F2043"/>
          <w:sz w:val="44"/>
        </w:rPr>
        <w:t>투자 인사이트</w:t>
      </w:r>
    </w:p>
    <w:p>
      <w:pPr>
        <w:spacing w:before="0" w:after="160" w:line="276" w:lineRule="auto"/>
        <w:jc w:val="center"/>
      </w:pPr>
      <w:r>
        <w:rPr>
          <w:rFonts w:ascii="맑은 고딕" w:hAnsi="맑은 고딕" w:eastAsia="맑은 고딕"/>
          <w:b w:val="0"/>
          <w:color w:val="4B5563"/>
          <w:sz w:val="21"/>
        </w:rPr>
        <w:t>퀵코멘트 55개 · 대담 13편 · 한 노트 174문장</w:t>
      </w:r>
    </w:p>
    <w:tbl>
      <w:tblPr>
        <w:tblW w:type="auto" w:w="0"/>
        <w:jc w:val="center"/>
        <w:tblLook w:firstColumn="1" w:firstRow="1" w:lastColumn="0" w:lastRow="0" w:noHBand="0" w:noVBand="1" w:val="04A0"/>
      </w:tblPr>
      <w:tblGrid>
        <w:gridCol w:w="10092"/>
      </w:tblGrid>
      <w:tr>
        <w:tc>
          <w:tcPr>
            <w:tcW w:type="dxa" w:w="10092"/>
            <w:shd w:val="clear" w:color="auto" w:fill="EEF2F8"/>
            <w:tcBorders>
              <w:top w:val="nil"/>
              <w:left w:val="single" w:sz="28" w:space="0" w:color="B8943A"/>
              <w:bottom w:val="nil"/>
              <w:right w:val="nil"/>
            </w:tcBorders>
            <w:tcMar>
              <w:top w:w="80" w:type="dxa"/>
              <w:left w:w="120" w:type="dxa"/>
              <w:bottom w:w="80" w:type="dxa"/>
              <w:right w:w="120" w:type="dxa"/>
            </w:tcMar>
          </w:tcPr>
          <w:p>
            <w:pPr>
              <w:spacing w:after="40"/>
            </w:pPr>
            <w:r/>
            <w:r>
              <w:rPr>
                <w:rFonts w:ascii="맑은 고딕" w:hAnsi="맑은 고딕" w:eastAsia="맑은 고딕"/>
                <w:b/>
                <w:color w:val="0F2043"/>
                <w:sz w:val="20"/>
              </w:rPr>
              <w:t>한 줄</w:t>
            </w:r>
          </w:p>
          <w:p>
            <w:pPr>
              <w:spacing w:after="20" w:before="0" w:line="269" w:lineRule="auto"/>
            </w:pPr>
            <w:r>
              <w:rPr>
                <w:rFonts w:ascii="맑은 고딕" w:hAnsi="맑은 고딕" w:eastAsia="맑은 고딕"/>
                <w:b w:val="0"/>
                <w:color w:val="1A1A1A"/>
                <w:sz w:val="21"/>
              </w:rPr>
              <w:t>지금은 “경기침체 리스크”보다 “5% 장기금리 + AI CapEx 지속성”의 싸움.</w:t>
            </w:r>
          </w:p>
        </w:tc>
      </w:tr>
    </w:tbl>
    <w:p>
      <w:pPr>
        <w:spacing w:before="0" w:after="80" w:line="276" w:lineRule="auto"/>
        <w:jc w:val="left"/>
      </w:pPr>
      <w:r>
        <w:rPr>
          <w:rFonts w:ascii="맑은 고딕" w:hAnsi="맑은 고딕" w:eastAsia="맑은 고딕"/>
          <w:b w:val="0"/>
          <w:color w:val="1A1A1A"/>
          <w:sz w:val="12"/>
        </w:rPr>
      </w:r>
    </w:p>
    <w:p>
      <w:pPr>
        <w:spacing w:before="0" w:after="80" w:line="276" w:lineRule="auto"/>
        <w:jc w:val="left"/>
      </w:pPr>
      <w:r>
        <w:rPr>
          <w:rFonts w:ascii="맑은 고딕" w:hAnsi="맑은 고딕" w:eastAsia="맑은 고딕"/>
          <w:b w:val="0"/>
          <w:color w:val="4B5563"/>
          <w:sz w:val="20"/>
        </w:rPr>
        <w:t>출처 표기  이선엽 · 삼프로 · 윤지호 · 이지원 · 메리츠 · 골드만 · Bernstein · BofA · Barron</w:t>
      </w:r>
    </w:p>
    <w:p>
      <w:pPr>
        <w:spacing w:before="0" w:after="120" w:line="276" w:lineRule="auto"/>
        <w:jc w:val="left"/>
      </w:pPr>
      <w:r>
        <w:rPr>
          <w:rFonts w:ascii="맑은 고딕" w:hAnsi="맑은 고딕" w:eastAsia="맑은 고딕"/>
          <w:b w:val="0"/>
          <w:color w:val="4B5563"/>
          <w:sz w:val="20"/>
        </w:rPr>
        <w:t>퀵코멘트와 방송 대담을 한 노트로 합쳤다. 같은 논지는 한 번만 남기고 출처를 붙인다.</w:t>
      </w:r>
    </w:p>
    <w:p>
      <w:pPr>
        <w:spacing w:before="240" w:after="120" w:line="276" w:lineRule="auto"/>
        <w:jc w:val="left"/>
        <w:pBdr>
          <w:bottom w:val="single" w:sz="12" w:space="3" w:color="0F2043"/>
        </w:pBdr>
      </w:pPr>
      <w:r>
        <w:rPr>
          <w:rFonts w:ascii="맑은 고딕" w:hAnsi="맑은 고딕" w:eastAsia="맑은 고딕"/>
          <w:b/>
          <w:color w:val="0F2043"/>
          <w:sz w:val="32"/>
        </w:rPr>
        <w:t>1. 매크로 · 금리</w:t>
      </w:r>
    </w:p>
    <w:p>
      <w:pPr>
        <w:spacing w:before="0" w:after="120" w:line="276" w:lineRule="auto"/>
        <w:jc w:val="left"/>
      </w:pPr>
      <w:r>
        <w:rPr>
          <w:rFonts w:ascii="맑은 고딕" w:hAnsi="맑은 고딕" w:eastAsia="맑은 고딕"/>
          <w:b w:val="0"/>
          <w:color w:val="1A1A1A"/>
          <w:sz w:val="22"/>
        </w:rPr>
        <w:t>9월 고용은 2.9만 명으로 컨센서스 8.9만 명을 밑돌았다. 시간당 임금 상승률은 연초 3.7%에서 3.0%다. 10년물은 5.28%까지 재상승한 기록이 있다. 골드만삭스는 10월 추가 인상 전망을 철회했다. 하지만 물가 3%대 → 인플레이션 제약 → 즉각적인 인하 근거 제한 → 현재 Fed 입장에서는 노동시장 급랭보다는 여전히 인플레이션이 정책의 핵심 변수.</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10년물 5%는 미국 명목 성장률과 가까운 정상화다. 2009~2020년 저금리에 익숙했던 부채가 아플 뿐이다. 관세 물가는 내년으로 갈수록 약해 5% 중반은 오버슈팅일 수 있고, 균형은 4%대다. 1~2%로는 돌아가기 어렵다. 인프라 투자는 올해 8,000억 달러, 내년 1조~1조 2,000억 달러다. 회사채 수요의 정점은 2027년이고 2028년 이후 빅테크 현금이 돌아오면 완화된다.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신중호  </w:t>
      </w:r>
      <w:r>
        <w:rPr>
          <w:rFonts w:ascii="맑은 고딕" w:hAnsi="맑은 고딕" w:eastAsia="맑은 고딕"/>
          <w:b w:val="0"/>
          <w:color w:val="1A1A1A"/>
          <w:sz w:val="21"/>
        </w:rPr>
        <w:t>장기채 공급 부담은 2025년부터 이미 높았다. 최근 금리 급등은 그 기간 프리미엄보다 유가와 인상 기대, 주거비 뺀 근원 서비스 물가다. 애틀랜타 연준 GDP는 5%에서 3.8%로 내려왔다. 경기가 식으며 금리가 안정되는 길은 지수가 먼저 흔들릴 수 있다. 4%대 중반과 규제 완화까지는 시간이 더 필요하다.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전략 이사  </w:t>
      </w:r>
      <w:r>
        <w:rPr>
          <w:rFonts w:ascii="맑은 고딕" w:hAnsi="맑은 고딕" w:eastAsia="맑은 고딕"/>
          <w:b w:val="0"/>
          <w:color w:val="1A1A1A"/>
          <w:sz w:val="21"/>
        </w:rPr>
        <w:t>최근 40년 저물가에서는 경기와 물가가 같이 갔다. 1960~80년대 고물가에서는 물가가 꺾인 뒤 경기가 살아났다. 2021년 이후는 후자에 가깝고, 1~2% 물가로 완전히 돌아가기는 어렵다는 판단이다. 고물가 국면에서는 물가 고점에 사고, 물가가 바닥을 찍고 오르기 시작하면 줄인다.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신중호  </w:t>
      </w:r>
      <w:r>
        <w:rPr>
          <w:rFonts w:ascii="맑은 고딕" w:hAnsi="맑은 고딕" w:eastAsia="맑은 고딕"/>
          <w:b w:val="0"/>
          <w:color w:val="1A1A1A"/>
          <w:sz w:val="21"/>
        </w:rPr>
        <w:t>미국 은행은 현금 약 3조 달러를 갖고 대출 비중은 약 54%다. 국채를 팔지 않아도 현금이 대출로 나오게 하는 SLR 완화는 준비됐지만 선거 전 눈치로 아직이다. 선거 이후 스트레스 테스트가 끝나면 AI 투자 자금이 풀릴 수 있다. 미국 금융주와 한국 AI 밸류체인에 호재다.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RTS  </w:t>
      </w:r>
      <w:r>
        <w:rPr>
          <w:rFonts w:ascii="맑은 고딕" w:hAnsi="맑은 고딕" w:eastAsia="맑은 고딕"/>
          <w:b w:val="0"/>
          <w:color w:val="1A1A1A"/>
          <w:sz w:val="21"/>
        </w:rPr>
        <w:t>미중 정상회담은 숫자 합의보다 태평양을 둘이 나누자는 구도가 다시 나온 자리로 읽힌다. 한국에는 2,000억 달러 투자 약정 중 알래스카 LNG 540억 달러를, 협의 전에 미국이 발표했다. 발언자의 해석이고, 동맹 체면과 협상력이 약해지면 경제 현안도 막힌다는 경고다.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1970년대는 공급 7% 차질에 유가가 130% 올랐다. 이번 호르무즈는 차질이 약 15%로 더 큰데 상승은 약 30%에 그쳤다. 중국이 비축을 풀고 우회 수출이 됐기 때문이다. 전쟁이 끝나면 브렌트는 70~80달러가 현실적이고, 증시의 더 큰 줄기는 AI다.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전략 이사  </w:t>
      </w:r>
      <w:r>
        <w:rPr>
          <w:rFonts w:ascii="맑은 고딕" w:hAnsi="맑은 고딕" w:eastAsia="맑은 고딕"/>
          <w:b w:val="0"/>
          <w:color w:val="1A1A1A"/>
          <w:sz w:val="21"/>
        </w:rPr>
        <w:t>ISM 제조업 지수는 수정이 없고 주가가 들어가지 않으며 매월 가장 빨리 나온다. 지금 약 55이고, 다른 제조업 설문은 강해서 다음 달도 오를 수 있다. 60 근처는 경기가 좋은 만큼 물가도 따라오는 자리다. 꺾이기 전까지는 보유가 단순한 전략이다.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전략 이사  </w:t>
      </w:r>
      <w:r>
        <w:rPr>
          <w:rFonts w:ascii="맑은 고딕" w:hAnsi="맑은 고딕" w:eastAsia="맑은 고딕"/>
          <w:b w:val="0"/>
          <w:color w:val="1A1A1A"/>
          <w:sz w:val="21"/>
        </w:rPr>
        <w:t>1950년 이후 중간 선거 뒤 6개월과 1년 승률은 지금까지 100%다. 선거 약 33일 전이 바닥인 경우가 많았다. 10월에 크게 빠진 해는 1978년과 2018년이고, 둘 다 예상 밖의 금리 인상이 있었다. 패턴보다 물가 컨센서스가 우선이다.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RTS  </w:t>
      </w:r>
      <w:r>
        <w:rPr>
          <w:rFonts w:ascii="맑은 고딕" w:hAnsi="맑은 고딕" w:eastAsia="맑은 고딕"/>
          <w:b w:val="0"/>
          <w:color w:val="1A1A1A"/>
          <w:sz w:val="21"/>
        </w:rPr>
        <w:t>4분기는 한 해를 정리하는 분기다. 기관 자금은 11월에 갱신되고, 금리가 오른 뒤 내부 수익률 7%를 못 넘기면 프로젝트가 멈춘다. 돈은 기업과 데이터센터로 몰려 물 먹는 하마처럼 빠져 있다. 그 투자가 생산성으로 돌아와야 돈이 다시 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박정호  </w:t>
      </w:r>
      <w:r>
        <w:rPr>
          <w:rFonts w:ascii="맑은 고딕" w:hAnsi="맑은 고딕" w:eastAsia="맑은 고딕"/>
          <w:b w:val="0"/>
          <w:color w:val="1A1A1A"/>
          <w:sz w:val="21"/>
        </w:rPr>
        <w:t>미중 정상회담은 급한 숙제가 있는 두 정상의 휴전이다. 문구는 존중·공정·상호주의로, 1980년대 일본보다 중국을 예우했다. 대만 독립을 명시적으로 반대하라는 요구는 빠졌다. 비민감 품목 관세 완화는 양쪽 약 300억 달러다.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박정호  </w:t>
      </w:r>
      <w:r>
        <w:rPr>
          <w:rFonts w:ascii="맑은 고딕" w:hAnsi="맑은 고딕" w:eastAsia="맑은 고딕"/>
          <w:b w:val="0"/>
          <w:color w:val="1A1A1A"/>
          <w:sz w:val="21"/>
        </w:rPr>
        <w:t>제3국이 미국행 물건에 중국산이 없음을 증명하라는 규칙은 그대로다. 공장 이전은 1년 안에 안 끝난다. 수혜의 중심은 베트남을 포함한 아세안이다. 중국 대미 흑자가 당장 늘어 보이는 것은 선반영과 기저효과다.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전략 이사  </w:t>
      </w:r>
      <w:r>
        <w:rPr>
          <w:rFonts w:ascii="맑은 고딕" w:hAnsi="맑은 고딕" w:eastAsia="맑은 고딕"/>
          <w:b w:val="0"/>
          <w:color w:val="1A1A1A"/>
          <w:sz w:val="21"/>
        </w:rPr>
        <w:t>미국 10년물 5.3%는 최근 3~4년 고점이다. 버블이 무너지려면 금리 신고가와, 다시는 내려오지 않는다는 믿음이 같이 필요하다. 5% 중반에 닿았다가 4%대로 돌아오면 채권과 주식이 같이 오른다.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박정호  </w:t>
      </w:r>
      <w:r>
        <w:rPr>
          <w:rFonts w:ascii="맑은 고딕" w:hAnsi="맑은 고딕" w:eastAsia="맑은 고딕"/>
          <w:b w:val="0"/>
          <w:color w:val="1A1A1A"/>
          <w:sz w:val="21"/>
        </w:rPr>
        <w:t>하이퍼스케일러 실적은 이미 좋아지고 있다. 버는 속도보다 쓰는 속도가 빠르지만, 가격 통제권이 있다. 한 사람이 AI를 직접 한두 개만 써도, 여행·교육·포털에 녹은 간접 사용은 그보다 많다.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전략 이사  </w:t>
      </w:r>
      <w:r>
        <w:rPr>
          <w:rFonts w:ascii="맑은 고딕" w:hAnsi="맑은 고딕" w:eastAsia="맑은 고딕"/>
          <w:b w:val="0"/>
          <w:color w:val="1A1A1A"/>
          <w:sz w:val="21"/>
        </w:rPr>
        <w:t>기관 컨센서스는 물가가 4분기까지 높고, 내년 1분기 3.1%, 2분기 2%로 본다. 그 믿음이 있는 동안 주가는 버틴다. 2%로 가는 신호가 보이면 주가는 크게 열릴 수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9월 미국 10년물은 약 49bp 올랐는데 대부분은 물가가 아니라 실질금리다. 돈값이 비싸져 멀티플은 눌리고, 메모리 이익 추정은 오히려 올라간다. 주가는 옆으로 버틴다.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이선엽  </w:t>
      </w:r>
      <w:r>
        <w:rPr>
          <w:rFonts w:ascii="맑은 고딕" w:hAnsi="맑은 고딕" w:eastAsia="맑은 고딕"/>
          <w:b w:val="0"/>
          <w:color w:val="1A1A1A"/>
          <w:sz w:val="21"/>
        </w:rPr>
        <w:t>미국 10년물은 5.3%까지 올랐다가 5.2% 초반으로 밀렸다. 5.2~5.1%에서 행보하면 실적 시즌에 반도체·소부장·전력으로 압축되며 오를 수 있다는 쪽이다.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RTS  </w:t>
      </w:r>
      <w:r>
        <w:rPr>
          <w:rFonts w:ascii="맑은 고딕" w:hAnsi="맑은 고딕" w:eastAsia="맑은 고딕"/>
          <w:b w:val="0"/>
          <w:color w:val="1A1A1A"/>
          <w:sz w:val="21"/>
        </w:rPr>
        <w:t>연간으로 코스피는 약 66% 올랐고 코스닥은 아직 마이너스다. S&amp;P는 약 12%, 나스닥은 약 15%다. 다우·러셀은 약하다. 한국만 못 가는 그림은 아니다.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박정호  </w:t>
      </w:r>
      <w:r>
        <w:rPr>
          <w:rFonts w:ascii="맑은 고딕" w:hAnsi="맑은 고딕" w:eastAsia="맑은 고딕"/>
          <w:b w:val="0"/>
          <w:color w:val="1A1A1A"/>
          <w:sz w:val="21"/>
        </w:rPr>
        <w:t>중국·인도·브라질 공공자금은 미 국채를 계속 줄인다. 민간은 5% 금리에도 국채와 AI 회사채를 받는다. 회담에서 합의되지 않은 카드는 희토류 수출 통제다.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8월 근원 PCE 3.008%는 개정 효과다. 개정 7월 2.983%에서 사실상 보합이고, 3개월 연율은 약 2.05%, 6개월 연율은 약 2.74%다.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전략 이사  </w:t>
      </w:r>
      <w:r>
        <w:rPr>
          <w:rFonts w:ascii="맑은 고딕" w:hAnsi="맑은 고딕" w:eastAsia="맑은 고딕"/>
          <w:b w:val="0"/>
          <w:color w:val="1A1A1A"/>
          <w:sz w:val="21"/>
        </w:rPr>
        <w:t>수급은 가격을 과하게 만들 뿐, 방향을 만들지 않는다. 가격을 만드는 것은 위험 선호다. 물가 불안이 걷히면 채권과 주식이 같이 오른다는 쪽이다.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전략 이사  </w:t>
      </w:r>
      <w:r>
        <w:rPr>
          <w:rFonts w:ascii="맑은 고딕" w:hAnsi="맑은 고딕" w:eastAsia="맑은 고딕"/>
          <w:b w:val="0"/>
          <w:color w:val="1A1A1A"/>
          <w:sz w:val="21"/>
        </w:rPr>
        <w:t>원유보다 디젤이 안 빠진다. 정제 수출의 약 22%가 호르무즈에 묶여 있다. 해협이 열리고 중국·미국 정제가 다시 돌면 물가 고점 신호가 된다.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데이비드 저보스는 높은 장기금리를 새 정상으로 두기보다, 재무부 국채 바이백으로 시간을 벌고 생산성 개선이 물가를 낮추기를 기다린다는 쪽이다.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한국 증시가 고금리에도 버티는 것은 이익 증가가 금리보다 빠르고, 성장이 소비가 아니라 투자에서 나오기 때문이다. 가계 소비는 실제로 어렵다.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이지원  </w:t>
      </w:r>
      <w:r>
        <w:rPr>
          <w:rFonts w:ascii="맑은 고딕" w:hAnsi="맑은 고딕" w:eastAsia="맑은 고딕"/>
          <w:b w:val="0"/>
          <w:color w:val="1A1A1A"/>
          <w:sz w:val="21"/>
        </w:rPr>
        <w:t>9월에 매크로 악재가 쏟아졌는데 시장이 급락하지 않은 것이 상방 근거로 쓰인다. 엇박자 구간에서는 추격 매수와 공포 매도를 피한다.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이지원  </w:t>
      </w:r>
      <w:r>
        <w:rPr>
          <w:rFonts w:ascii="맑은 고딕" w:hAnsi="맑은 고딕" w:eastAsia="맑은 고딕"/>
          <w:b w:val="0"/>
          <w:color w:val="1A1A1A"/>
          <w:sz w:val="21"/>
        </w:rPr>
        <w:t>장기금리가 높은 것 자체는 경기가 괜찮다는 신호로도 읽힌다. 더 경계할 것은 단기금리가 장기금리를 다시 넘어서는 장단기 역전이다.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김열매  </w:t>
      </w:r>
      <w:r>
        <w:rPr>
          <w:rFonts w:ascii="맑은 고딕" w:hAnsi="맑은 고딕" w:eastAsia="맑은 고딕"/>
          <w:b w:val="0"/>
          <w:color w:val="1A1A1A"/>
          <w:sz w:val="21"/>
        </w:rPr>
        <w:t>빅테크 설비투자는 직전 5년 대비 최근 5년이 약 9배다. 돈은 AI로 가고, 한국 반도체와 전력·인프라가 그 수혜로 언급된다.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10월 동결만으로 지수 전체가 한 단계 오르기는 제한적이다. 초과수익은 AI 직접·간접 노출로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고용 3개월 평균은 약 5만 명이고, 직전 두 달 합산 6만 명 하향이 있다. 전월은 13.3만 명이다.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고용 쇼크의 프레임은 Bad Jobs, Good Stocks다. 침체보다 인상 확률 하락으로 읽혔다.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김열매  </w:t>
      </w:r>
      <w:r>
        <w:rPr>
          <w:rFonts w:ascii="맑은 고딕" w:hAnsi="맑은 고딕" w:eastAsia="맑은 고딕"/>
          <w:b w:val="0"/>
          <w:color w:val="1A1A1A"/>
          <w:sz w:val="21"/>
        </w:rPr>
        <w:t>유럽은 기존에 잘하던 산업 외에, 새로 세계를 이끄는 항목이 잘 안 보인다는 평가다.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따라서 단기적으로는 금리 부담 완화 요인. 유가 $100+와 장기 인플레가 지속되면 추가 인상 가능성은 여전히 열려 있음</w:t>
      </w:r>
    </w:p>
    <w:p>
      <w:pPr>
        <w:spacing w:before="240" w:after="120" w:line="276" w:lineRule="auto"/>
        <w:jc w:val="left"/>
        <w:pBdr>
          <w:bottom w:val="single" w:sz="12" w:space="3" w:color="0F2043"/>
        </w:pBdr>
      </w:pPr>
      <w:r>
        <w:rPr>
          <w:rFonts w:ascii="맑은 고딕" w:hAnsi="맑은 고딕" w:eastAsia="맑은 고딕"/>
          <w:b/>
          <w:color w:val="0F2043"/>
          <w:sz w:val="32"/>
        </w:rPr>
        <w:t>2. 메모리</w:t>
      </w:r>
    </w:p>
    <w:p>
      <w:pPr>
        <w:spacing w:before="0" w:after="120" w:line="276" w:lineRule="auto"/>
        <w:jc w:val="left"/>
      </w:pPr>
      <w:r>
        <w:rPr>
          <w:rFonts w:ascii="맑은 고딕" w:hAnsi="맑은 고딕" w:eastAsia="맑은 고딕"/>
          <w:b w:val="0"/>
          <w:color w:val="1A1A1A"/>
          <w:sz w:val="22"/>
        </w:rPr>
        <w:t>SK하이닉스 184.2만 원은 26년 PER 5.3배, 27년 PER 4.1배다. 삼성전자 27.6만 원은 26년 PER 5.8배, 27년 PER 4.1배다. 원문 기준 27년 영업이익은 YoY +40% 이상이고, EPS는 하이닉스 +27%, 삼성전자 +42%다. 27년 성장이 없다는 가정에 26년 PER 약 7배를 적용하면 하이닉스 209~244만 원, 삼성전자 28.7만~33.5만원이다. 원화 5~10% 강세는 삼전·닉스 주가에 6~12% 하락 요인으로 적혀 있다. 반도체 기업 실적에 대해 여전히 시장에서는 사이클 산업이다라고 폄하하지만, 그 사이클이 겁나 길어질 수도 있다는 생각은 안하는 모양입니다. 전일 마이크론 실적의 핵심은 공급 부족의 장기화 입니다.</w:t>
      </w:r>
    </w:p>
    <w:tbl>
      <w:tblPr>
        <w:tblW w:type="auto" w:w="0"/>
        <w:jc w:val="center"/>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2523"/>
        <w:gridCol w:w="2523"/>
        <w:gridCol w:w="2523"/>
        <w:gridCol w:w="2523"/>
      </w:tblGrid>
      <w:tr>
        <w:tc>
          <w:tcPr>
            <w:tcW w:type="dxa" w:w="1814"/>
            <w:shd w:val="clear" w:color="auto" w:fill="0F2043"/>
            <w:tcMar>
              <w:top w:w="60" w:type="dxa"/>
              <w:left w:w="80" w:type="dxa"/>
              <w:bottom w:w="60" w:type="dxa"/>
              <w:right w:w="80" w:type="dxa"/>
            </w:tcMar>
          </w:tcPr>
          <w:p>
            <w:pPr>
              <w:spacing w:before="0" w:after="20" w:line="259" w:lineRule="auto"/>
              <w:jc w:val="center"/>
            </w:pPr>
            <w:r/>
            <w:r>
              <w:rPr>
                <w:rFonts w:ascii="맑은 고딕" w:hAnsi="맑은 고딕" w:eastAsia="맑은 고딕"/>
                <w:b/>
                <w:color w:val="FFFFFF"/>
                <w:sz w:val="18"/>
              </w:rPr>
              <w:t>종목</w:t>
            </w:r>
          </w:p>
        </w:tc>
        <w:tc>
          <w:tcPr>
            <w:tcW w:type="dxa" w:w="2041"/>
            <w:shd w:val="clear" w:color="auto" w:fill="0F2043"/>
            <w:tcMar>
              <w:top w:w="60" w:type="dxa"/>
              <w:left w:w="80" w:type="dxa"/>
              <w:bottom w:w="60" w:type="dxa"/>
              <w:right w:w="80" w:type="dxa"/>
            </w:tcMar>
          </w:tcPr>
          <w:p>
            <w:pPr>
              <w:spacing w:before="0" w:after="20" w:line="259" w:lineRule="auto"/>
              <w:jc w:val="center"/>
            </w:pPr>
            <w:r/>
            <w:r>
              <w:rPr>
                <w:rFonts w:ascii="맑은 고딕" w:hAnsi="맑은 고딕" w:eastAsia="맑은 고딕"/>
                <w:b/>
                <w:color w:val="FFFFFF"/>
                <w:sz w:val="18"/>
              </w:rPr>
              <w:t>가격</w:t>
            </w:r>
          </w:p>
        </w:tc>
        <w:tc>
          <w:tcPr>
            <w:tcW w:type="dxa" w:w="3118"/>
            <w:shd w:val="clear" w:color="auto" w:fill="0F2043"/>
            <w:tcMar>
              <w:top w:w="60" w:type="dxa"/>
              <w:left w:w="80" w:type="dxa"/>
              <w:bottom w:w="60" w:type="dxa"/>
              <w:right w:w="80" w:type="dxa"/>
            </w:tcMar>
          </w:tcPr>
          <w:p>
            <w:pPr>
              <w:spacing w:before="0" w:after="20" w:line="259" w:lineRule="auto"/>
              <w:jc w:val="center"/>
            </w:pPr>
            <w:r/>
            <w:r>
              <w:rPr>
                <w:rFonts w:ascii="맑은 고딕" w:hAnsi="맑은 고딕" w:eastAsia="맑은 고딕"/>
                <w:b/>
                <w:color w:val="FFFFFF"/>
                <w:sz w:val="18"/>
              </w:rPr>
              <w:t>앞 구간</w:t>
            </w:r>
          </w:p>
        </w:tc>
        <w:tc>
          <w:tcPr>
            <w:tcW w:type="dxa" w:w="3118"/>
            <w:shd w:val="clear" w:color="auto" w:fill="0F2043"/>
            <w:tcMar>
              <w:top w:w="60" w:type="dxa"/>
              <w:left w:w="80" w:type="dxa"/>
              <w:bottom w:w="60" w:type="dxa"/>
              <w:right w:w="80" w:type="dxa"/>
            </w:tcMar>
          </w:tcPr>
          <w:p>
            <w:pPr>
              <w:spacing w:before="0" w:after="20" w:line="259" w:lineRule="auto"/>
              <w:jc w:val="center"/>
            </w:pPr>
            <w:r/>
            <w:r>
              <w:rPr>
                <w:rFonts w:ascii="맑은 고딕" w:hAnsi="맑은 고딕" w:eastAsia="맑은 고딕"/>
                <w:b/>
                <w:color w:val="FFFFFF"/>
                <w:sz w:val="18"/>
              </w:rPr>
              <w:t>뒤 구간</w:t>
            </w:r>
          </w:p>
        </w:tc>
      </w:tr>
      <w:tr>
        <w:tc>
          <w:tcPr>
            <w:tcW w:type="dxa" w:w="1814"/>
            <w:shd w:val="clear" w:color="auto" w:fill="FFFFFF"/>
            <w:tcMar>
              <w:top w:w="60" w:type="dxa"/>
              <w:left w:w="80" w:type="dxa"/>
              <w:bottom w:w="60" w:type="dxa"/>
              <w:right w:w="80" w:type="dxa"/>
            </w:tcMar>
          </w:tcPr>
          <w:p>
            <w:pPr>
              <w:spacing w:before="0" w:after="20" w:line="259" w:lineRule="auto"/>
              <w:jc w:val="left"/>
            </w:pPr>
            <w:r/>
            <w:r>
              <w:rPr>
                <w:rFonts w:ascii="맑은 고딕" w:hAnsi="맑은 고딕" w:eastAsia="맑은 고딕"/>
                <w:b/>
                <w:color w:val="1A1A1A"/>
                <w:sz w:val="17"/>
              </w:rPr>
              <w:t>SK하이닉스</w:t>
            </w:r>
          </w:p>
        </w:tc>
        <w:tc>
          <w:tcPr>
            <w:tcW w:type="dxa" w:w="2041"/>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184.2만 원</w:t>
            </w:r>
          </w:p>
        </w:tc>
        <w:tc>
          <w:tcPr>
            <w:tcW w:type="dxa" w:w="3118"/>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PER 5.3배 · 영업이익 265조 · EPS 349K</w:t>
            </w:r>
          </w:p>
        </w:tc>
        <w:tc>
          <w:tcPr>
            <w:tcW w:type="dxa" w:w="3118"/>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PER 4.1배 · 영업이익 392조 · EPS 444K</w:t>
            </w:r>
          </w:p>
        </w:tc>
      </w:tr>
      <w:tr>
        <w:tc>
          <w:tcPr>
            <w:tcW w:type="dxa" w:w="1814"/>
            <w:shd w:val="clear" w:color="auto" w:fill="F7F9FC"/>
            <w:tcMar>
              <w:top w:w="60" w:type="dxa"/>
              <w:left w:w="80" w:type="dxa"/>
              <w:bottom w:w="60" w:type="dxa"/>
              <w:right w:w="80" w:type="dxa"/>
            </w:tcMar>
          </w:tcPr>
          <w:p>
            <w:pPr>
              <w:spacing w:before="0" w:after="20" w:line="259" w:lineRule="auto"/>
              <w:jc w:val="left"/>
            </w:pPr>
            <w:r/>
            <w:r>
              <w:rPr>
                <w:rFonts w:ascii="맑은 고딕" w:hAnsi="맑은 고딕" w:eastAsia="맑은 고딕"/>
                <w:b/>
                <w:color w:val="1A1A1A"/>
                <w:sz w:val="17"/>
              </w:rPr>
              <w:t>삼성전자</w:t>
            </w:r>
          </w:p>
        </w:tc>
        <w:tc>
          <w:tcPr>
            <w:tcW w:type="dxa" w:w="2041"/>
            <w:shd w:val="clear" w:color="auto" w:fill="F7F9FC"/>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27.6만 원</w:t>
            </w:r>
          </w:p>
        </w:tc>
        <w:tc>
          <w:tcPr>
            <w:tcW w:type="dxa" w:w="3118"/>
            <w:shd w:val="clear" w:color="auto" w:fill="F7F9FC"/>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PER 5.8배 · 영업이익 388조 · EPS 47.9K</w:t>
            </w:r>
          </w:p>
        </w:tc>
        <w:tc>
          <w:tcPr>
            <w:tcW w:type="dxa" w:w="3118"/>
            <w:shd w:val="clear" w:color="auto" w:fill="F7F9FC"/>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PER 4.1배 · 영업이익 555조 · EPS 67.9K</w:t>
            </w:r>
          </w:p>
        </w:tc>
      </w:tr>
      <w:tr>
        <w:tc>
          <w:tcPr>
            <w:tcW w:type="dxa" w:w="1814"/>
            <w:shd w:val="clear" w:color="auto" w:fill="FFFFFF"/>
            <w:tcMar>
              <w:top w:w="60" w:type="dxa"/>
              <w:left w:w="80" w:type="dxa"/>
              <w:bottom w:w="60" w:type="dxa"/>
              <w:right w:w="80" w:type="dxa"/>
            </w:tcMar>
          </w:tcPr>
          <w:p>
            <w:pPr>
              <w:spacing w:before="0" w:after="20" w:line="259" w:lineRule="auto"/>
              <w:jc w:val="left"/>
            </w:pPr>
            <w:r/>
            <w:r>
              <w:rPr>
                <w:rFonts w:ascii="맑은 고딕" w:hAnsi="맑은 고딕" w:eastAsia="맑은 고딕"/>
                <w:b/>
                <w:color w:val="1A1A1A"/>
                <w:sz w:val="17"/>
              </w:rPr>
              <w:t>마이크론</w:t>
            </w:r>
          </w:p>
        </w:tc>
        <w:tc>
          <w:tcPr>
            <w:tcW w:type="dxa" w:w="2041"/>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1074.89달러</w:t>
            </w:r>
          </w:p>
        </w:tc>
        <w:tc>
          <w:tcPr>
            <w:tcW w:type="dxa" w:w="3118"/>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FY27 EPS 165달러 · PER 6.5배</w:t>
            </w:r>
          </w:p>
        </w:tc>
        <w:tc>
          <w:tcPr>
            <w:tcW w:type="dxa" w:w="3118"/>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CY27 EPS 180달러 · PER 6.0배</w:t>
            </w:r>
          </w:p>
        </w:tc>
      </w:tr>
      <w:tr>
        <w:tc>
          <w:tcPr>
            <w:tcW w:type="dxa" w:w="1814"/>
            <w:shd w:val="clear" w:color="auto" w:fill="F7F9FC"/>
            <w:tcMar>
              <w:top w:w="60" w:type="dxa"/>
              <w:left w:w="80" w:type="dxa"/>
              <w:bottom w:w="60" w:type="dxa"/>
              <w:right w:w="80" w:type="dxa"/>
            </w:tcMar>
          </w:tcPr>
          <w:p>
            <w:pPr>
              <w:spacing w:before="0" w:after="20" w:line="259" w:lineRule="auto"/>
              <w:jc w:val="left"/>
            </w:pPr>
            <w:r/>
            <w:r>
              <w:rPr>
                <w:rFonts w:ascii="맑은 고딕" w:hAnsi="맑은 고딕" w:eastAsia="맑은 고딕"/>
                <w:b/>
                <w:color w:val="1A1A1A"/>
                <w:sz w:val="17"/>
              </w:rPr>
              <w:t>샌디스크</w:t>
            </w:r>
          </w:p>
        </w:tc>
        <w:tc>
          <w:tcPr>
            <w:tcW w:type="dxa" w:w="2041"/>
            <w:shd w:val="clear" w:color="auto" w:fill="F7F9FC"/>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1719.99달러</w:t>
            </w:r>
          </w:p>
        </w:tc>
        <w:tc>
          <w:tcPr>
            <w:tcW w:type="dxa" w:w="3118"/>
            <w:shd w:val="clear" w:color="auto" w:fill="F7F9FC"/>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w:t>
            </w:r>
          </w:p>
        </w:tc>
        <w:tc>
          <w:tcPr>
            <w:tcW w:type="dxa" w:w="3118"/>
            <w:shd w:val="clear" w:color="auto" w:fill="F7F9FC"/>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FY27 EPS 230달러 · PER 7.5배</w:t>
            </w:r>
          </w:p>
        </w:tc>
      </w:tr>
      <w:tr>
        <w:tc>
          <w:tcPr>
            <w:tcW w:type="dxa" w:w="1814"/>
            <w:shd w:val="clear" w:color="auto" w:fill="FFFFFF"/>
            <w:tcMar>
              <w:top w:w="60" w:type="dxa"/>
              <w:left w:w="80" w:type="dxa"/>
              <w:bottom w:w="60" w:type="dxa"/>
              <w:right w:w="80" w:type="dxa"/>
            </w:tcMar>
          </w:tcPr>
          <w:p>
            <w:pPr>
              <w:spacing w:before="0" w:after="20" w:line="259" w:lineRule="auto"/>
              <w:jc w:val="left"/>
            </w:pPr>
            <w:r/>
            <w:r>
              <w:rPr>
                <w:rFonts w:ascii="맑은 고딕" w:hAnsi="맑은 고딕" w:eastAsia="맑은 고딕"/>
                <w:b/>
                <w:color w:val="1A1A1A"/>
                <w:sz w:val="17"/>
              </w:rPr>
              <w:t>하이닉스 ADR</w:t>
            </w:r>
          </w:p>
        </w:tc>
        <w:tc>
          <w:tcPr>
            <w:tcW w:type="dxa" w:w="2041"/>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195.13달러 = 263만 원</w:t>
            </w:r>
          </w:p>
        </w:tc>
        <w:tc>
          <w:tcPr>
            <w:tcW w:type="dxa" w:w="3118"/>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PER 7.5배</w:t>
            </w:r>
          </w:p>
        </w:tc>
        <w:tc>
          <w:tcPr>
            <w:tcW w:type="dxa" w:w="3118"/>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PER 5.9배 · 본주 대비 44% 프리미엄</w:t>
            </w:r>
          </w:p>
        </w:tc>
      </w:tr>
    </w:tbl>
    <w:p>
      <w:pPr>
        <w:spacing w:before="0" w:after="40" w:line="276" w:lineRule="auto"/>
        <w:jc w:val="left"/>
      </w:pPr>
      <w:r>
        <w:rPr>
          <w:rFonts w:ascii="맑은 고딕" w:hAnsi="맑은 고딕" w:eastAsia="맑은 고딕"/>
          <w:b w:val="0"/>
          <w:color w:val="1A1A1A"/>
          <w:sz w:val="8"/>
        </w:rPr>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HBM4는 기가당 1달러 위에서 출발해 내년 5달러까지 거론되고, HBM ASP는 올해보다 120% 오른다는 트렌드포스 자료가 있다. 그 가정이면 내년 피크아웃 고민은 약하다. HBM4는 삼성 승기에 가깝지만 공급이 부족해 하이닉스 매출도 늘고 점유율은 낮아질 수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삼성전자 이번 분기 영업이익은 원화 강세로 증권사가 말하는 100~104조보다 높은 110조 안팎이다. 하이닉스는 약 70조로, 시장 기대를 크게 넘기진 못할 수 있다. 10월 8일 삼성 잠정실적이다.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컨센서스 환율 1480원을 1370원으로 낮추면 이익 컨센서스가 약 10% 내려갈 수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마이크론 대비 과거 할인율 밴드는 -20~-50%다.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 목대균·이경규  </w:t>
      </w:r>
      <w:r>
        <w:rPr>
          <w:rFonts w:ascii="맑은 고딕" w:hAnsi="맑은 고딕" w:eastAsia="맑은 고딕"/>
          <w:b w:val="0"/>
          <w:color w:val="1A1A1A"/>
          <w:sz w:val="21"/>
        </w:rPr>
        <w:t>6월 고점에서 7월 저점까지 한 달여에 30~40%가 빠졌다. 레버리지가 청산되며 피크아웃 공포는 상당 부분 가격에 들어갔다. 7,000 위는 삼성전자·하이닉스 매물이다. 이익이 반토막 나는 가정을 이미 넣은 것처럼 싸고, 다운사이클 진폭이 과거보다 얕으면 저점이 올라간다.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김장렬  </w:t>
      </w:r>
      <w:r>
        <w:rPr>
          <w:rFonts w:ascii="맑은 고딕" w:hAnsi="맑은 고딕" w:eastAsia="맑은 고딕"/>
          <w:b w:val="0"/>
          <w:color w:val="1A1A1A"/>
          <w:sz w:val="21"/>
        </w:rPr>
        <w:t>마이크론 다음 분기 마진 가이던스 86.25%는 직전 87%보다 0.75%포인트 낮아 초반 매도의 빌미였다. 매출은 이번 분기 약 5%, 다음 분기 가이던스는 약 6% 더 나았고 EPS 가이던스는 38달러로 약 14% 높았다. 콜에서 그다음 분기부터 마진이 다시 오를 수 있다고 했다. 할인율이 오른 자리라 2~3% 반응이 적정에 가깝다.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마이크론 다음 분기 총이익률 가이던스는 HBM 믹스 때문에 약간 보수적이다. 보조금 제한이 12월 초에 끝나는데 자기주식에 대한 언급이 없어 실망했다. 실적 전망 자체는 아니다. 장기 계약은 16건에서 26건으로 늘었고, 선수금이 버퍼다. 공급은 2028년까지도 수요를 못 따라온다는 말이 처음 공식화됐다.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신중호  </w:t>
      </w:r>
      <w:r>
        <w:rPr>
          <w:rFonts w:ascii="맑은 고딕" w:hAnsi="맑은 고딕" w:eastAsia="맑은 고딕"/>
          <w:b w:val="0"/>
          <w:color w:val="1A1A1A"/>
          <w:sz w:val="21"/>
        </w:rPr>
        <w:t>2024년 엔비디아 매출총이익률이 70~80%일 때 GPU 쇼티지 뒤 대체 칩이 나오며 엔비디아는 1년 가까이 주도주에서 빠지고 옆으로 갔다. 마이크론 총이익률 87%, 다음 분기 86%도 같은 자리다. 마진이 높다고 주도주가 유지되지 않는다. 메모리는 AI 그 자체가 아니라 필수 투입재다.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삼성전자가 HBM 캐파를 하반기 두 배, 내년 2.5배 늘리면 레거시 D램 캐파는 줄어든다. PC·모바일 D램조차 타이트해질 수 있다. 2027년 수급 불안은 줄었고 2028년은 내년에 다시 본다. 뮤즈로 오픈AI·앤트로픽·메타의 3강이 되면 메모리 고객이 한 명에게 몰려 끝나지 않는다.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신중호  </w:t>
      </w:r>
      <w:r>
        <w:rPr>
          <w:rFonts w:ascii="맑은 고딕" w:hAnsi="맑은 고딕" w:eastAsia="맑은 고딕"/>
          <w:b w:val="0"/>
          <w:color w:val="1A1A1A"/>
          <w:sz w:val="21"/>
        </w:rPr>
        <w:t>삼성전자는 28만 원 위에 물량의 60~70%, 하이닉스는 175만 원 위에 약 60%가 물려 있다. 애플도 주주환원을 3년 한 뒤에야 재평가됐다. 2028년 공급이 늘어도 마진이 남는지, 중국 메모리가 로컬에 머무는지가 배수를 연다. 4배에서 6배는 50%지만 지금은 그 자리가 아니다.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마이크론 EPS는 약 1년 전 3달러에서 33달러를 넘었다. 증설은 아이다호·뉴욕 HBM이고, 가속기 계획에 맞춘 주문 생산이라 소비자용처럼 빈 공장을 짓는 사이클과 다르다. 데이터센터는 2년 치를 미리 잡아야 하고, 구형 가속기 가격도 출시 때보다 비싸다.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신중호  </w:t>
      </w:r>
      <w:r>
        <w:rPr>
          <w:rFonts w:ascii="맑은 고딕" w:hAnsi="맑은 고딕" w:eastAsia="맑은 고딕"/>
          <w:b w:val="0"/>
          <w:color w:val="1A1A1A"/>
          <w:sz w:val="21"/>
        </w:rPr>
        <w:t>메모리가 너무 비싸면 AI 확산이 막힌다. 그래서 물량을 늘리는 장비 주문이 움직인다. 엔비디아는 마진이 안정된 뒤에야 멀티플이 다시 열렸다. 삼성전자·하이닉스도 그 확인은 내년 2분기 후반까지 갈 수 있고, 그 사이 다른 업종이 힘을 가져간다.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김장렬  </w:t>
      </w:r>
      <w:r>
        <w:rPr>
          <w:rFonts w:ascii="맑은 고딕" w:hAnsi="맑은 고딕" w:eastAsia="맑은 고딕"/>
          <w:b w:val="0"/>
          <w:color w:val="1A1A1A"/>
          <w:sz w:val="21"/>
        </w:rPr>
        <w:t>7월 말 이후 약 두 달, 마이크론은 약 30%, 샌디스크는 약 35%, 하이닉스 ADR은 약 23% 올랐다. 삼성전자·하이닉스 본주는 약 3%밖에 안 올랐고 거래대금은 반 토막이다. 8~9월 AI 뉴스가 한국 대형주 가격에는 덜 들어갔다.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메모리는 지금 파는 구간이 아니라 버티는 구간이다. 다른 섹터는 이미 빠져 종목이 퍼지고 있다. HBM 가격은 두 배가 아니라 최대 세 배 인상으로 보인다. 내년 이익 레벨업을 보면 유가·금리에 흔들려도 내년까지 가져간다.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스마트폰·PC·자동차 수요는 약한데도 소비자 제품 마진은 개선됐다. HBM이 들어간 클라우드 메모리는 수율 때문에 마진이 소폭 줄었다. 데이터센터 비중은 61%에서 63%다. 다음 분기 매출도 시장 예상보다 높다.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3분기 한국 반도체는 물량보다 원화 강세가 이익을 깎아 기대에 못 미칠 수 있다. 하이닉스 소각은 마무리 국면이다. 실적 때 추가 소각이나 삼성전자 특별 배당이 나오면 소프트한 숫자를 넘길 수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마이크론은 매출 540억 달러, 영업이익률 82%로 직전 분기보다 1%포인트 개선됐다. 낸드는 가격 약 30%·출하 약 10%, D램은 출하 약 5%·ASP 약 18~19% 상승으로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트렌드포스 고정가에서 PC D램도 9월에 올랐고, 4분기 서버 D램을 많이 만들면 PC D램은 예상 5%가 아니라 약 18% 오른다. 수요가 아니라 공급이 막힌 가격이다.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9월 반도체 수출은 전년 대비 약 260%로 사상 최대다. 메타 뮤즈는 20일 만에 약 500만 다운로드로 가장 빠른 축이고, 에이전트 관련 주식에 긍정적이다.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커스텀 HBM은 8단·12단만이 아니라 수요에 맞춘 단수다. 비싸서 못 사던 고객이 들어오면 하이닉스·삼성 입장에선 시장이 줄어들기보다 넓어진다.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김효진  </w:t>
      </w:r>
      <w:r>
        <w:rPr>
          <w:rFonts w:ascii="맑은 고딕" w:hAnsi="맑은 고딕" w:eastAsia="맑은 고딕"/>
          <w:b w:val="0"/>
          <w:color w:val="1A1A1A"/>
          <w:sz w:val="21"/>
        </w:rPr>
        <w:t>마이크론 실적과 전망은 강한데, 시장은 새 뉴스처럼 반응하기보다 넘어가는 쪽에 가깝다.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ADR 프리미엄이 30%면 본주 202만 원, 20%면 219만 원으로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미국 메모리 기업 마이크론 실적 발표 이후 3% 이상 상승으로 마감하면서 지난 분기와는 다르게 실적과 향후 전망에 대해 시장이 긍정적으로 반응했습니다.</w:t>
      </w:r>
    </w:p>
    <w:p>
      <w:pPr>
        <w:spacing w:before="240" w:after="120" w:line="276" w:lineRule="auto"/>
        <w:jc w:val="left"/>
        <w:pBdr>
          <w:bottom w:val="single" w:sz="12" w:space="3" w:color="0F2043"/>
        </w:pBdr>
      </w:pPr>
      <w:r>
        <w:rPr>
          <w:rFonts w:ascii="맑은 고딕" w:hAnsi="맑은 고딕" w:eastAsia="맑은 고딕"/>
          <w:b/>
          <w:color w:val="0F2043"/>
          <w:sz w:val="32"/>
        </w:rPr>
        <w:t>3. 수급과 가격대</w:t>
      </w:r>
    </w:p>
    <w:p>
      <w:pPr>
        <w:spacing w:before="0" w:after="120" w:line="276" w:lineRule="auto"/>
        <w:jc w:val="left"/>
      </w:pPr>
      <w:r>
        <w:rPr>
          <w:rFonts w:ascii="맑은 고딕" w:hAnsi="맑은 고딕" w:eastAsia="맑은 고딕"/>
          <w:b w:val="0"/>
          <w:color w:val="1A1A1A"/>
          <w:sz w:val="22"/>
        </w:rPr>
        <w:t>가격대는 이선엽 방송, 수급은 이지원 인터뷰, 현금 비중은 김열매 대담에서 가져왔다.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신중호 · 김장렬  </w:t>
      </w:r>
      <w:r>
        <w:rPr>
          <w:rFonts w:ascii="맑은 고딕" w:hAnsi="맑은 고딕" w:eastAsia="맑은 고딕"/>
          <w:b w:val="0"/>
          <w:color w:val="1A1A1A"/>
          <w:sz w:val="21"/>
        </w:rPr>
        <w:t>삼성 3분기 컨센서스는 환율 반영 후 101조~108조다. 3분기가 105조면 4분기는 120조에 못 미치게 보는 시각이 있다. 2027년 영업이익 추정은 350조~600조로 벌어져 있고, 환율 반영 직후 숫자는 520조다. 내년 하반기 가격이 15% 다음 30% 빠져 분기 이익이 60조로 내려앉는 그림은 목표주가 27만~35만 원이다. 그 급락이 1년 안에 올 확률은 20%도 안 되는데, 주가는 그 이상을 반영 중이다. 올해 약 360조가 유지되기만 해도 6~7배면 30만 원 초중반이다.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이선엽 · 녹취  </w:t>
      </w:r>
      <w:r>
        <w:rPr>
          <w:rFonts w:ascii="맑은 고딕" w:hAnsi="맑은 고딕" w:eastAsia="맑은 고딕"/>
          <w:b w:val="0"/>
          <w:color w:val="1A1A1A"/>
          <w:sz w:val="21"/>
        </w:rPr>
        <w:t>마이크론은 고점 대비 약 13%까지 좁혀졌고, 하이닉스는 고점 대비 30% 넘게 벌어져 있다. 격차가 이 정도로 유지되기는 어렵다는 비교다.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이지원  </w:t>
      </w:r>
      <w:r>
        <w:rPr>
          <w:rFonts w:ascii="맑은 고딕" w:hAnsi="맑은 고딕" w:eastAsia="맑은 고딕"/>
          <w:b w:val="0"/>
          <w:color w:val="1A1A1A"/>
          <w:sz w:val="21"/>
        </w:rPr>
        <w:t>7월 29일 저점 이후 개인이 코스피에서 약 25조 원, 삼성전자 약 4,400만 주, 하이닉스 약 700만 주를 팔았다. 매도의 큰 주체는 개인이다.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이지원  </w:t>
      </w:r>
      <w:r>
        <w:rPr>
          <w:rFonts w:ascii="맑은 고딕" w:hAnsi="맑은 고딕" w:eastAsia="맑은 고딕"/>
          <w:b w:val="0"/>
          <w:color w:val="1A1A1A"/>
          <w:sz w:val="21"/>
        </w:rPr>
        <w:t>원·달러 1,500원대는 과거에는 외국인 장기자금의 매수 구간이었다. 이번에는 패시브 매도가 커서 그 매수가 순매수로 드러나지 않았다.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이선엽 · 녹취  </w:t>
      </w:r>
      <w:r>
        <w:rPr>
          <w:rFonts w:ascii="맑은 고딕" w:hAnsi="맑은 고딕" w:eastAsia="맑은 고딕"/>
          <w:b w:val="0"/>
          <w:color w:val="1A1A1A"/>
          <w:sz w:val="21"/>
        </w:rPr>
        <w:t>자사주 매수는 하락을 받아 주는 자리이지 상승 재료가 아니다. 하이닉스 자사주는 10월 15일까지이고, 매수가 끝난 뒤가 수급 시험으로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이선엽 · 녹취  </w:t>
      </w:r>
      <w:r>
        <w:rPr>
          <w:rFonts w:ascii="맑은 고딕" w:hAnsi="맑은 고딕" w:eastAsia="맑은 고딕"/>
          <w:b w:val="0"/>
          <w:color w:val="1A1A1A"/>
          <w:sz w:val="21"/>
        </w:rPr>
        <w:t>삼성전자의 다음 가격대는 28만 원, 그중 28만 5,000원 돌파다. 하이닉스는 190만 원 돌파다.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영국·호주 10년물이 5%를 넘고 일본도 3%를 넘으면 글로벌 자금은 신흥국부터 줄인다. 한국이 이머징이라 삼성·하이닉스가 기계적으로 팔린다. 그 고금리의 한 이유는 하이퍼스케일러가 데이터센터 자금으로 돈을 흡수하는 것이고, 그 돈은 다시 반도체 수요다.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자사주가 받칠 때 외국인이 더 많이 팔고, 자사주가 끝나면 가격을 깨며 세게 팔지는 않는다. 내년 주주환원 때 다시 판다. 그래서 한 구간을 왕복한다. 구글 TPU 외부 판매로 수요처 잉여현금이 플러스면 그 매도가 잦아들 수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RTS  </w:t>
      </w:r>
      <w:r>
        <w:rPr>
          <w:rFonts w:ascii="맑은 고딕" w:hAnsi="맑은 고딕" w:eastAsia="맑은 고딕"/>
          <w:b w:val="0"/>
          <w:color w:val="1A1A1A"/>
          <w:sz w:val="21"/>
        </w:rPr>
        <w:t>10월 2일 코스피는 0.46% 올라 7,000을 회복했다. 5·21·60일선 위지만 120일선 약 7,200이 위쪽 벽이다. 주간으로는 약 1% 하락. 약한 장은 아니고, 인플레이션만큼 버틴 주에 가깝다.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이선엽  </w:t>
      </w:r>
      <w:r>
        <w:rPr>
          <w:rFonts w:ascii="맑은 고딕" w:hAnsi="맑은 고딕" w:eastAsia="맑은 고딕"/>
          <w:b w:val="0"/>
          <w:color w:val="1A1A1A"/>
          <w:sz w:val="21"/>
        </w:rPr>
        <w:t>10월 1일 코스피는 약 1.95%, 2일은 약 0.46%였다. 지수는 잔잔하고 종목 간 움직임이 세며, 코스닥은 하루 쉬어 간다는 진행이다.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김효진  </w:t>
      </w:r>
      <w:r>
        <w:rPr>
          <w:rFonts w:ascii="맑은 고딕" w:hAnsi="맑은 고딕" w:eastAsia="맑은 고딕"/>
          <w:b w:val="0"/>
          <w:color w:val="1A1A1A"/>
          <w:sz w:val="21"/>
        </w:rPr>
        <w:t>삼전·닉스 매물대는 일정 허들을 넘으면 계속 발목을 잡지는 않는다는 쪽이다. 본전이라고 바로 파는 구간은 다시 탄력이 붙으면 팔기 어려워진다.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이지원  </w:t>
      </w:r>
      <w:r>
        <w:rPr>
          <w:rFonts w:ascii="맑은 고딕" w:hAnsi="맑은 고딕" w:eastAsia="맑은 고딕"/>
          <w:b w:val="0"/>
          <w:color w:val="1A1A1A"/>
          <w:sz w:val="21"/>
        </w:rPr>
        <w:t>추석 이후 외국인의 코스피 매도가 수조 원이다. 순매도로 보이지만 외국인을 한 주체로 보면 안 된다.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이지원  </w:t>
      </w:r>
      <w:r>
        <w:rPr>
          <w:rFonts w:ascii="맑은 고딕" w:hAnsi="맑은 고딕" w:eastAsia="맑은 고딕"/>
          <w:b w:val="0"/>
          <w:color w:val="1A1A1A"/>
          <w:sz w:val="21"/>
        </w:rPr>
        <w:t>오후 2시 전후 선물 청산과 월·목 위클리 옵션은 당일 변동성이다. 펀더멘털 추세와는 별개로 본다.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이선엽  </w:t>
      </w:r>
      <w:r>
        <w:rPr>
          <w:rFonts w:ascii="맑은 고딕" w:hAnsi="맑은 고딕" w:eastAsia="맑은 고딕"/>
          <w:b w:val="0"/>
          <w:color w:val="1A1A1A"/>
          <w:sz w:val="21"/>
        </w:rPr>
        <w:t>위에 산 물량을 메우는 물타기와, 살아 있는 추세에 나눠 담는 불타기를 구분한다.</w:t>
      </w:r>
    </w:p>
    <w:p>
      <w:pPr>
        <w:spacing w:before="240" w:after="120" w:line="276" w:lineRule="auto"/>
        <w:jc w:val="left"/>
        <w:pBdr>
          <w:bottom w:val="single" w:sz="12" w:space="3" w:color="0F2043"/>
        </w:pBdr>
      </w:pPr>
      <w:r>
        <w:rPr>
          <w:rFonts w:ascii="맑은 고딕" w:hAnsi="맑은 고딕" w:eastAsia="맑은 고딕"/>
          <w:b/>
          <w:color w:val="0F2043"/>
          <w:sz w:val="32"/>
        </w:rPr>
        <w:t>4. HDD</w:t>
      </w:r>
    </w:p>
    <w:p>
      <w:pPr>
        <w:spacing w:before="0" w:after="120" w:line="276" w:lineRule="auto"/>
        <w:jc w:val="left"/>
      </w:pPr>
      <w:r>
        <w:rPr>
          <w:rFonts w:ascii="맑은 고딕" w:hAnsi="맑은 고딕" w:eastAsia="맑은 고딕"/>
          <w:b w:val="0"/>
          <w:color w:val="1A1A1A"/>
          <w:sz w:val="22"/>
        </w:rPr>
        <w:t>시게이트는 FY27 EPS 32.6달러에 PER 26배, 웨스턴디지털은 FY27 EPS 17.9달러에 PER 23배다. 도시바 증설 규모는 약 3.8억 달러다. 용량 점유율은 웨스턴디지털 45%, 시게이트 41%, 도시바 14%다. 가격에 반영되는 시점은 2028년 이후로 적혀 있다. 따라서 시간축은 2026 현재: 공급부족 → 2027: Toshiba 증설 시작/일부 증가 → 2028 이후: 공급증가가 가격에 본격 영향 가능성 즉, Toshiba 뉴스 자체는 단기적으로는 심리적 악재지만, 실제 HDD 가격/마진을 훼손하는 것은 2027~28년 이후의 문제로 보는 것이 더 정확합니다.</w:t>
      </w:r>
    </w:p>
    <w:tbl>
      <w:tblPr>
        <w:tblW w:type="auto" w:w="0"/>
        <w:jc w:val="center"/>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2523"/>
        <w:gridCol w:w="2523"/>
        <w:gridCol w:w="2523"/>
        <w:gridCol w:w="2523"/>
      </w:tblGrid>
      <w:tr>
        <w:tc>
          <w:tcPr>
            <w:tcW w:type="dxa" w:w="1814"/>
            <w:shd w:val="clear" w:color="auto" w:fill="0F2043"/>
            <w:tcMar>
              <w:top w:w="60" w:type="dxa"/>
              <w:left w:w="80" w:type="dxa"/>
              <w:bottom w:w="60" w:type="dxa"/>
              <w:right w:w="80" w:type="dxa"/>
            </w:tcMar>
          </w:tcPr>
          <w:p>
            <w:pPr>
              <w:spacing w:before="0" w:after="20" w:line="259" w:lineRule="auto"/>
              <w:jc w:val="center"/>
            </w:pPr>
            <w:r/>
            <w:r>
              <w:rPr>
                <w:rFonts w:ascii="맑은 고딕" w:hAnsi="맑은 고딕" w:eastAsia="맑은 고딕"/>
                <w:b/>
                <w:color w:val="FFFFFF"/>
                <w:sz w:val="18"/>
              </w:rPr>
              <w:t>종목</w:t>
            </w:r>
          </w:p>
        </w:tc>
        <w:tc>
          <w:tcPr>
            <w:tcW w:type="dxa" w:w="2041"/>
            <w:shd w:val="clear" w:color="auto" w:fill="0F2043"/>
            <w:tcMar>
              <w:top w:w="60" w:type="dxa"/>
              <w:left w:w="80" w:type="dxa"/>
              <w:bottom w:w="60" w:type="dxa"/>
              <w:right w:w="80" w:type="dxa"/>
            </w:tcMar>
          </w:tcPr>
          <w:p>
            <w:pPr>
              <w:spacing w:before="0" w:after="20" w:line="259" w:lineRule="auto"/>
              <w:jc w:val="center"/>
            </w:pPr>
            <w:r/>
            <w:r>
              <w:rPr>
                <w:rFonts w:ascii="맑은 고딕" w:hAnsi="맑은 고딕" w:eastAsia="맑은 고딕"/>
                <w:b/>
                <w:color w:val="FFFFFF"/>
                <w:sz w:val="18"/>
              </w:rPr>
              <w:t>가격</w:t>
            </w:r>
          </w:p>
        </w:tc>
        <w:tc>
          <w:tcPr>
            <w:tcW w:type="dxa" w:w="3118"/>
            <w:shd w:val="clear" w:color="auto" w:fill="0F2043"/>
            <w:tcMar>
              <w:top w:w="60" w:type="dxa"/>
              <w:left w:w="80" w:type="dxa"/>
              <w:bottom w:w="60" w:type="dxa"/>
              <w:right w:w="80" w:type="dxa"/>
            </w:tcMar>
          </w:tcPr>
          <w:p>
            <w:pPr>
              <w:spacing w:before="0" w:after="20" w:line="259" w:lineRule="auto"/>
              <w:jc w:val="center"/>
            </w:pPr>
            <w:r/>
            <w:r>
              <w:rPr>
                <w:rFonts w:ascii="맑은 고딕" w:hAnsi="맑은 고딕" w:eastAsia="맑은 고딕"/>
                <w:b/>
                <w:color w:val="FFFFFF"/>
                <w:sz w:val="18"/>
              </w:rPr>
              <w:t>앞 구간</w:t>
            </w:r>
          </w:p>
        </w:tc>
        <w:tc>
          <w:tcPr>
            <w:tcW w:type="dxa" w:w="3118"/>
            <w:shd w:val="clear" w:color="auto" w:fill="0F2043"/>
            <w:tcMar>
              <w:top w:w="60" w:type="dxa"/>
              <w:left w:w="80" w:type="dxa"/>
              <w:bottom w:w="60" w:type="dxa"/>
              <w:right w:w="80" w:type="dxa"/>
            </w:tcMar>
          </w:tcPr>
          <w:p>
            <w:pPr>
              <w:spacing w:before="0" w:after="20" w:line="259" w:lineRule="auto"/>
              <w:jc w:val="center"/>
            </w:pPr>
            <w:r/>
            <w:r>
              <w:rPr>
                <w:rFonts w:ascii="맑은 고딕" w:hAnsi="맑은 고딕" w:eastAsia="맑은 고딕"/>
                <w:b/>
                <w:color w:val="FFFFFF"/>
                <w:sz w:val="18"/>
              </w:rPr>
              <w:t>뒤 구간</w:t>
            </w:r>
          </w:p>
        </w:tc>
      </w:tr>
      <w:tr>
        <w:tc>
          <w:tcPr>
            <w:tcW w:type="dxa" w:w="1814"/>
            <w:shd w:val="clear" w:color="auto" w:fill="FFFFFF"/>
            <w:tcMar>
              <w:top w:w="60" w:type="dxa"/>
              <w:left w:w="80" w:type="dxa"/>
              <w:bottom w:w="60" w:type="dxa"/>
              <w:right w:w="80" w:type="dxa"/>
            </w:tcMar>
          </w:tcPr>
          <w:p>
            <w:pPr>
              <w:spacing w:before="0" w:after="20" w:line="259" w:lineRule="auto"/>
              <w:jc w:val="left"/>
            </w:pPr>
            <w:r/>
            <w:r>
              <w:rPr>
                <w:rFonts w:ascii="맑은 고딕" w:hAnsi="맑은 고딕" w:eastAsia="맑은 고딕"/>
                <w:b/>
                <w:color w:val="1A1A1A"/>
                <w:sz w:val="17"/>
              </w:rPr>
              <w:t>시게이트</w:t>
            </w:r>
          </w:p>
        </w:tc>
        <w:tc>
          <w:tcPr>
            <w:tcW w:type="dxa" w:w="2041"/>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848.99달러</w:t>
            </w:r>
          </w:p>
        </w:tc>
        <w:tc>
          <w:tcPr>
            <w:tcW w:type="dxa" w:w="3118"/>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w:t>
            </w:r>
          </w:p>
        </w:tc>
        <w:tc>
          <w:tcPr>
            <w:tcW w:type="dxa" w:w="3118"/>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FY27 EPS 32.6달러 · PER 26배</w:t>
            </w:r>
          </w:p>
        </w:tc>
      </w:tr>
      <w:tr>
        <w:tc>
          <w:tcPr>
            <w:tcW w:type="dxa" w:w="1814"/>
            <w:shd w:val="clear" w:color="auto" w:fill="F7F9FC"/>
            <w:tcMar>
              <w:top w:w="60" w:type="dxa"/>
              <w:left w:w="80" w:type="dxa"/>
              <w:bottom w:w="60" w:type="dxa"/>
              <w:right w:w="80" w:type="dxa"/>
            </w:tcMar>
          </w:tcPr>
          <w:p>
            <w:pPr>
              <w:spacing w:before="0" w:after="20" w:line="259" w:lineRule="auto"/>
              <w:jc w:val="left"/>
            </w:pPr>
            <w:r/>
            <w:r>
              <w:rPr>
                <w:rFonts w:ascii="맑은 고딕" w:hAnsi="맑은 고딕" w:eastAsia="맑은 고딕"/>
                <w:b/>
                <w:color w:val="1A1A1A"/>
                <w:sz w:val="17"/>
              </w:rPr>
              <w:t>웨스턴디지털</w:t>
            </w:r>
          </w:p>
        </w:tc>
        <w:tc>
          <w:tcPr>
            <w:tcW w:type="dxa" w:w="2041"/>
            <w:shd w:val="clear" w:color="auto" w:fill="F7F9FC"/>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415.29달러</w:t>
            </w:r>
          </w:p>
        </w:tc>
        <w:tc>
          <w:tcPr>
            <w:tcW w:type="dxa" w:w="3118"/>
            <w:shd w:val="clear" w:color="auto" w:fill="F7F9FC"/>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w:t>
            </w:r>
          </w:p>
        </w:tc>
        <w:tc>
          <w:tcPr>
            <w:tcW w:type="dxa" w:w="3118"/>
            <w:shd w:val="clear" w:color="auto" w:fill="F7F9FC"/>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FY27 EPS 17.9달러 · PER 23배</w:t>
            </w:r>
          </w:p>
        </w:tc>
      </w:tr>
    </w:tbl>
    <w:p>
      <w:pPr>
        <w:spacing w:before="0" w:after="40" w:line="276" w:lineRule="auto"/>
        <w:jc w:val="left"/>
      </w:pPr>
      <w:r>
        <w:rPr>
          <w:rFonts w:ascii="맑은 고딕" w:hAnsi="맑은 고딕" w:eastAsia="맑은 고딕"/>
          <w:b w:val="0"/>
          <w:color w:val="1A1A1A"/>
          <w:sz w:val="8"/>
        </w:rPr>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도시바 점유율이 30%까지 가면 WDC·시게이트 합산 점유율은 86%에서 70%로 낮아질 수 있다는 상상이다.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WDC 실제 PER 경로는 11.2배 → 22.9배 → 33.8배 → 17.5배다.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따라서 Toshiba가 생산능력을 2배로 늘린다고 해서 Toshiba 물량 ↑ = STX/WDC 물량 ↓가 1:1로 되는 것은 아닙니다.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왜냐하면 현재는 오히려 공급이 매우 타이트하고, Seagate의 2026년 Nearline HDD 생산능력은 이미 대부분 판매됐으며,</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2025~26년에는 HDD = AI 데이터센터의 구조적 수요 + 공급과점 + 가격결정력으로 프리미엄을 받았습니다.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왜냐하면 Toshiba가 30%를 달성하려면 시간이 필요하기 때문입니다.</w:t>
      </w:r>
    </w:p>
    <w:p>
      <w:pPr>
        <w:spacing w:before="240" w:after="120" w:line="276" w:lineRule="auto"/>
        <w:jc w:val="left"/>
        <w:pBdr>
          <w:bottom w:val="single" w:sz="12" w:space="3" w:color="0F2043"/>
        </w:pBdr>
      </w:pPr>
      <w:r>
        <w:rPr>
          <w:rFonts w:ascii="맑은 고딕" w:hAnsi="맑은 고딕" w:eastAsia="맑은 고딕"/>
          <w:b/>
          <w:color w:val="0F2043"/>
          <w:sz w:val="32"/>
        </w:rPr>
        <w:t>5. 광통신</w:t>
      </w:r>
    </w:p>
    <w:p>
      <w:pPr>
        <w:spacing w:before="0" w:after="120" w:line="276" w:lineRule="auto"/>
        <w:jc w:val="left"/>
      </w:pPr>
      <w:r>
        <w:rPr>
          <w:rFonts w:ascii="맑은 고딕" w:hAnsi="맑은 고딕" w:eastAsia="맑은 고딕"/>
          <w:b w:val="0"/>
          <w:color w:val="1A1A1A"/>
          <w:sz w:val="22"/>
        </w:rPr>
        <w:t>코히런트는 주간 +5.6% · 전일 +10.9%, 루멘텀은 +3.8% · 전일 +7.7%, 크레도는 3거래일 +4% · +7.9% · +1.3%다. 크레도 FY2027 1분기 매출은 $479M, 전년 대비 +114.7%다. 두산 광모듈용 CCL은 1분기 344억, 2분기 493억, 3분기 1,059억(+115% QoQ)이다. 따라서 당장 중국산 800G·1.6T를 미국에서 못 쓰게 되는 것이 아니므로 LITE·COHR의 현재 매출이 중국 업체로부터 즉시 넘어오는 구조는 아닙니다.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크레도는 DustPhotonics 인수로 실리콘포토닉스까지 갖췄고, 1.6T ZeroFlap 트랜시버를 냈다. FY27 광통신 매출은 6억 달러 이상으로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두산 전자BG는 베라 루빈 울트라까지 HVLP4라 마진 스퀴즈 우려가 제한적이고, 중국 광모듈 규제에 빠진 주가는 과민반응으로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3.2T의 65% 미국산 BOM 시나리오에서는 중국 모듈 조립이 남아도 미국 DSP·레이저 탑재가 늘어날 수 있다. 단기 실적의 핵은 중국 규제가 아니다.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수혜 사슬은 GPU(엔비디아), 스위치(브로드컴), 구리·DSP(크레도), 레이저(루멘텀), 레이저·소재·트랜시버(코히런트)로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코히런트는 PhotonLink와 InP 공급이, 루멘텀은 레이저가 근거로 붙는다. BofA는 다년 수요와 공급 부족을 배경으로 적었다.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광통신은 2030년까지 산업 규모가 약 4배라는 얘기가 있다. 한국이 선도 기업은 아니어도 산업이 커지면 수혜는 남는다.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번스타인 코히런트 목표주가는 $350다. 고객 인게이지먼트는 20개로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크레도 FY2027 매출 성장률 가이던스는 85% 이상이다.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단순한 테마 순환이라기보다, AI 데이터센터의 네트워크 병목이 본격적으로 부각되면서 800G→1.6T→3.2T로 광통신 시장의 TAM이 확대된다는 논리가 핵심입니다.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즉,Copper → Optical까지 Connectivity 전체 스택으로 확장됐습니다. 회사는 800G·1.6T·3.2T NPO/CPO를 모두 겨냥하고 있습니다.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AI 데이터센터의 스위치 속도가 800G → 1.6T 등으로 올라가면서 광 모듈 수요가 구조적으로 증가할 것으로 분석했습니다.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오히려 본질적인 주가 상승 이유는 1.6T→3.2T로 가는 AI 광통신 시장 자체의 성장입니다.</w:t>
      </w:r>
    </w:p>
    <w:p>
      <w:pPr>
        <w:spacing w:before="240" w:after="120" w:line="276" w:lineRule="auto"/>
        <w:jc w:val="left"/>
        <w:pBdr>
          <w:bottom w:val="single" w:sz="12" w:space="3" w:color="0F2043"/>
        </w:pBdr>
      </w:pPr>
      <w:r>
        <w:rPr>
          <w:rFonts w:ascii="맑은 고딕" w:hAnsi="맑은 고딕" w:eastAsia="맑은 고딕"/>
          <w:b/>
          <w:color w:val="0F2043"/>
          <w:sz w:val="32"/>
        </w:rPr>
        <w:t>6. 기판 · 소부장</w:t>
      </w:r>
    </w:p>
    <w:p>
      <w:pPr>
        <w:spacing w:before="0" w:after="120" w:line="276" w:lineRule="auto"/>
        <w:jc w:val="left"/>
      </w:pPr>
      <w:r>
        <w:rPr>
          <w:rFonts w:ascii="맑은 고딕" w:hAnsi="맑은 고딕" w:eastAsia="맑은 고딕"/>
          <w:b w:val="0"/>
          <w:color w:val="1A1A1A"/>
          <w:sz w:val="22"/>
        </w:rPr>
        <w:t>삼성전기 이익 전망은 기존 컨센서스 대비 +64%로 적혀 있다. 보유 안전마진은 파일에서 먼저 나온 20~30%를 채택한다. 인텍플러스 목표주가는 9.5만 원, 2027년 영업이익 +79%다. 선행 증설 시계는 신코 FY2028 생산, 유니마이크론 2030 캐파이다. 투자 시사점은 ‘AI 수요 피크아웃’보다는 &lt; 적어도 2028~2030년까지 공급망 증설이 필요한 구조&gt;라는 것.</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이선엽 · 녹취  </w:t>
      </w:r>
      <w:r>
        <w:rPr>
          <w:rFonts w:ascii="맑은 고딕" w:hAnsi="맑은 고딕" w:eastAsia="맑은 고딕"/>
          <w:b w:val="0"/>
          <w:color w:val="1A1A1A"/>
          <w:sz w:val="21"/>
        </w:rPr>
        <w:t>삼성전기는 내년 약 40배, 2028년을 당기면 약 25배다. 대덕전자는 16.8배로 심텍 18배보다 낮다. 유리기판·필옵틱스는 4만 5,000원대와 급등 때마다 정리하는 자리다.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이선엽 · 녹취  </w:t>
      </w:r>
      <w:r>
        <w:rPr>
          <w:rFonts w:ascii="맑은 고딕" w:hAnsi="맑은 고딕" w:eastAsia="맑은 고딕"/>
          <w:b w:val="0"/>
          <w:color w:val="1A1A1A"/>
          <w:sz w:val="21"/>
        </w:rPr>
        <w:t>HPSP는 고압수소어닐, 식각·세정은 PSK, 후공정은 한미반도체·리노공업이다. TSE는 조정을 기다리고, 소재는 솔브레인·동진쎄미켐·한솔케미칼 중 하나다.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이선엽 · 녹취  </w:t>
      </w:r>
      <w:r>
        <w:rPr>
          <w:rFonts w:ascii="맑은 고딕" w:hAnsi="맑은 고딕" w:eastAsia="맑은 고딕"/>
          <w:b w:val="0"/>
          <w:color w:val="1A1A1A"/>
          <w:sz w:val="21"/>
        </w:rPr>
        <w:t>전공정 핵심은 증착이다. 원익IPS·유진테크·주성 중 원익IPS가 편하고, 12만 원까지 밀리면 관심 구간이다. 주성은 실적 확인 전이다.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장비는 약 5년, 매년 20~30% 성장이라는 글로벌 장비사 시각이다. TSMC 텍사스, 하이닉스 용인이 배경이다. 개인형 에이전트는 CPU와 기판·네트워킹 수요다. 장비·부품은 공급이 부족한 반면 소재는 부족이 아니다. 셋을 같이 보면 안 된다.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체크포인트 외국인 보유율 0% → 4.3%(9/10→10/1) 세 줄 요약 ① 수주잔고 1,261억 → 1,700억, 4Q 신규수주 1,000억 전망 → 수주 모멘텀 지속. ② AI CPU/GPU용 FC-BGA 쇼티지 + 삼성전기 4.3조원 증설 등 기판 투자 확대가 핵심 성장동력.</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이선엽 · 녹취  </w:t>
      </w:r>
      <w:r>
        <w:rPr>
          <w:rFonts w:ascii="맑은 고딕" w:hAnsi="맑은 고딕" w:eastAsia="맑은 고딕"/>
          <w:b w:val="0"/>
          <w:color w:val="1A1A1A"/>
          <w:sz w:val="21"/>
        </w:rPr>
        <w:t>장비 사이클은 5년으로 보고, 그 안에서 주가는 종목마다 먼저 가고 늦게 간다. 초보는 소부장 ETF가 편하다는 코멘트다.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김장렬  </w:t>
      </w:r>
      <w:r>
        <w:rPr>
          <w:rFonts w:ascii="맑은 고딕" w:hAnsi="맑은 고딕" w:eastAsia="맑은 고딕"/>
          <w:b w:val="0"/>
          <w:color w:val="1A1A1A"/>
          <w:sz w:val="21"/>
        </w:rPr>
        <w:t>휴대폰 MLCC는 대당 약 1,000개, 개당 1~2원, 시장 약 2조 원이다. 자동차는 대당 약 1만 개에 가격이 훨씬 높아 시장 약 27조 원이다. AI 서버는 150만 대에 대당 약 3만 개, 개당 약 200원이면 약 9조 원이고 성장률은 약 30%다. GPU 옆에는 최대 4만 개까지 거론된다.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기관은 메모리에서 싼 장비로 바스켓을 옮기고 ETF 자금도 장비를 산다. 전공정 발주는 내년 상반기, 수주 신호는 올해 하반기다. 마이크론은 공장 완공과 장비 반입을 당긴다. 중국 장비 국산화가 높아져 한국 장비사는 삼성·하이닉스 발주에 더 민감하다.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김장렬  </w:t>
      </w:r>
      <w:r>
        <w:rPr>
          <w:rFonts w:ascii="맑은 고딕" w:hAnsi="맑은 고딕" w:eastAsia="맑은 고딕"/>
          <w:b w:val="0"/>
          <w:color w:val="1A1A1A"/>
          <w:sz w:val="21"/>
        </w:rPr>
        <w:t>MLCC 1위는 무라타, 2위는 삼성전기다. 기판 1위는 이비덴, 2위는 삼성전기다. 둘을 같이 가진 곳은 삼성전기뿐이다. 기판 안에 전원 안정 설계를 넣는 그림은 2027년 하반기에서 2028년이다. 그 전에는 가벼운 기판 종목이 먼저 움직인다.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김장렬  </w:t>
      </w:r>
      <w:r>
        <w:rPr>
          <w:rFonts w:ascii="맑은 고딕" w:hAnsi="맑은 고딕" w:eastAsia="맑은 고딕"/>
          <w:b w:val="0"/>
          <w:color w:val="1A1A1A"/>
          <w:sz w:val="21"/>
        </w:rPr>
        <w:t>발표된 투자 6조 8,000억 원은 시작이다. 시장은 12조~15조 원까지 본다. 돈은 대부분 기판에 가고, 기판은 감가상각 때문에 초기 수익성이 무겁다. MLCC는 투자금이 적어 마진이 20%를 넘기 쉽다. 기판 발주는 선수금이 약 70%다.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김장렬  </w:t>
      </w:r>
      <w:r>
        <w:rPr>
          <w:rFonts w:ascii="맑은 고딕" w:hAnsi="맑은 고딕" w:eastAsia="맑은 고딕"/>
          <w:b w:val="0"/>
          <w:color w:val="1A1A1A"/>
          <w:sz w:val="21"/>
        </w:rPr>
        <w:t>삼성전기 투자 발표는 재료 소멸이 아니다. 내년 이익을 한 단계 더 올린 뒤 30배에서 40배면 200만 원 초중반이다. 300만 원은 그 이후 실적을 당겨야 나오는 숫자라 아직 이르다. 스트리트 목표는 250만 원대가 많다.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김장렬  </w:t>
      </w:r>
      <w:r>
        <w:rPr>
          <w:rFonts w:ascii="맑은 고딕" w:hAnsi="맑은 고딕" w:eastAsia="맑은 고딕"/>
          <w:b w:val="0"/>
          <w:color w:val="1A1A1A"/>
          <w:sz w:val="21"/>
        </w:rPr>
        <w:t>삼성전기 매출의 약 절반은 MLCC이고 이익의 중심이다. 마진은 10% 후반에서 20% 위로 향한다. 카메라 모듈 마진은 약 3.2%라 매출은 커도 이익이 아니다. 기판 마진은 10% 초중반까지 올라왔다.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이지원  </w:t>
      </w:r>
      <w:r>
        <w:rPr>
          <w:rFonts w:ascii="맑은 고딕" w:hAnsi="맑은 고딕" w:eastAsia="맑은 고딕"/>
          <w:b w:val="0"/>
          <w:color w:val="1A1A1A"/>
          <w:sz w:val="21"/>
        </w:rPr>
        <w:t>환율이 대형주 이익에 주는 민감도는 과거보다 줄었다. 삼성 영업이익 규모가 커져, 환율로 깎이는 금액이 전체에서 차지하는 비중이 작아졌다는 계산이다. 소부장은 헤지와 해외 생산이 약해 여전히 민감하다.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김장렬  </w:t>
      </w:r>
      <w:r>
        <w:rPr>
          <w:rFonts w:ascii="맑은 고딕" w:hAnsi="맑은 고딕" w:eastAsia="맑은 고딕"/>
          <w:b w:val="0"/>
          <w:color w:val="1A1A1A"/>
          <w:sz w:val="21"/>
        </w:rPr>
        <w:t>MLCC 리드타임은 20~30주, 내년 상반기까지 부족하고 2028년 초까지 괜찮다는 얘기도 있다. 기판은 48~56주, 약 1년이다. MLCC 부족은 디램보다 심하고, 기판은 그보다 더 심하다.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김장렬  </w:t>
      </w:r>
      <w:r>
        <w:rPr>
          <w:rFonts w:ascii="맑은 고딕" w:hAnsi="맑은 고딕" w:eastAsia="맑은 고딕"/>
          <w:b w:val="0"/>
          <w:color w:val="1A1A1A"/>
          <w:sz w:val="21"/>
        </w:rPr>
        <w:t>전송 속도가 두 배가 되면 MLCC 개수는 두 배가 아니라 3배에서 5배로 늘어난다는 최근 추정이다. 전압 모듈과 네트워크 칩에도 따로 수천~1만 개가 붙을 수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전략 이사  </w:t>
      </w:r>
      <w:r>
        <w:rPr>
          <w:rFonts w:ascii="맑은 고딕" w:hAnsi="맑은 고딕" w:eastAsia="맑은 고딕"/>
          <w:b w:val="0"/>
          <w:color w:val="1A1A1A"/>
          <w:sz w:val="21"/>
        </w:rPr>
        <w:t>하우스 포트는 10월에 반도체와 소부장을 같이 오버웨이트했다. 반도체는 실적, 장비는 증설이다.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기판과 MLCC는 여전히 병목이다. 기관이 메모리 다음으로 보는 쪽이다.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국내 투자 관점에서는 이 두 건을 삼성전기,코리아써키트,대덕전자·심텍 등 AI 기판/패키징 밸류체인의 장기 수요 가시성을 점검하는 근거로 보는 것이 핵심입니다.</w:t>
      </w:r>
    </w:p>
    <w:p>
      <w:pPr>
        <w:spacing w:before="240" w:after="120" w:line="276" w:lineRule="auto"/>
        <w:jc w:val="left"/>
        <w:pBdr>
          <w:bottom w:val="single" w:sz="12" w:space="3" w:color="0F2043"/>
        </w:pBdr>
      </w:pPr>
      <w:r>
        <w:rPr>
          <w:rFonts w:ascii="맑은 고딕" w:hAnsi="맑은 고딕" w:eastAsia="맑은 고딕"/>
          <w:b/>
          <w:color w:val="0F2043"/>
          <w:sz w:val="32"/>
        </w:rPr>
        <w:t>7. 전력과 데이터센터</w:t>
      </w:r>
    </w:p>
    <w:p>
      <w:pPr>
        <w:spacing w:before="0" w:after="120" w:line="276" w:lineRule="auto"/>
        <w:jc w:val="left"/>
      </w:pPr>
      <w:r>
        <w:rPr>
          <w:rFonts w:ascii="맑은 고딕" w:hAnsi="맑은 고딕" w:eastAsia="맑은 고딕"/>
          <w:b w:val="0"/>
          <w:color w:val="1A1A1A"/>
          <w:sz w:val="22"/>
        </w:rPr>
        <w:t>산일전기 FY26~28 매출 CAGR 32.5%, 영업이익 CAGR 38.5%, FY28 PER 16배(LS일렉트릭 약 31배)다. FY28 PER 16배로 대형 변압기주 대비 밸류에이션 부담이 낮아, FY27~28 성장 기대를 겨냥한 재평가 가능성이 핵심.</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김열매 · 녹취  </w:t>
      </w:r>
      <w:r>
        <w:rPr>
          <w:rFonts w:ascii="맑은 고딕" w:hAnsi="맑은 고딕" w:eastAsia="맑은 고딕"/>
          <w:b w:val="0"/>
          <w:color w:val="1A1A1A"/>
          <w:sz w:val="21"/>
        </w:rPr>
        <w:t>프로젝트 주피터는 2.4GW, 총 210억 달러 중 자기자본 약 30억 달러·건설 대출 180억 달러다. 대출은 오라클 장부 밖이고, 공사 지연 시 임대료를 못 낸다는 선언이 나왔다.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김열매 · 녹취  </w:t>
      </w:r>
      <w:r>
        <w:rPr>
          <w:rFonts w:ascii="맑은 고딕" w:hAnsi="맑은 고딕" w:eastAsia="맑은 고딕"/>
          <w:b w:val="0"/>
          <w:color w:val="1A1A1A"/>
          <w:sz w:val="21"/>
        </w:rPr>
        <w:t>GPU 임대료는 안정적이고 토큰 가격은 내려간다. 토큰 가격 하락은 원가로 읽힌다. 미국 발전 예비율은 약 30%이고, 병목은 데이터센터를 두려는 지역의 송전·인허가다.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김효진 · 녹취  </w:t>
      </w:r>
      <w:r>
        <w:rPr>
          <w:rFonts w:ascii="맑은 고딕" w:hAnsi="맑은 고딕" w:eastAsia="맑은 고딕"/>
          <w:b w:val="0"/>
          <w:color w:val="1A1A1A"/>
          <w:sz w:val="21"/>
        </w:rPr>
        <w:t>10월 말 하이퍼스케일러 실적과 11월 3일 중간선거가 다음 일정이다. 결과의 방향보다, 확인하고 싶던 이벤트가 지나간 뒤 지수가 지금보다 위에 있을 수 있다고 본다.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김열매 · 녹취  </w:t>
      </w:r>
      <w:r>
        <w:rPr>
          <w:rFonts w:ascii="맑은 고딕" w:hAnsi="맑은 고딕" w:eastAsia="맑은 고딕"/>
          <w:b w:val="0"/>
          <w:color w:val="1A1A1A"/>
          <w:sz w:val="21"/>
        </w:rPr>
        <w:t>오라클은 하이퍼스케일러 중 신용등급이 가장 아래다. 한 단계 더 내려가면 투기등급이라는 설명이고, 여기가 버티면 나머지를 덜 걱정해도 된다는 모니터링 대상이다.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김열매  </w:t>
      </w:r>
      <w:r>
        <w:rPr>
          <w:rFonts w:ascii="맑은 고딕" w:hAnsi="맑은 고딕" w:eastAsia="맑은 고딕"/>
          <w:b w:val="0"/>
          <w:color w:val="1A1A1A"/>
          <w:sz w:val="21"/>
        </w:rPr>
        <w:t>10월은 중간선거 전까지 버틴다는 월간 코멘트가 있다. 미국 지수가 신고가면 오를 때마다 현금을 조금 만든다. 주식 100%라면 10월 말 현금 10~20%가 7대 3에 가깝다.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관심은 반도체와 전력, 미국으로 나가는 한국 원전이다. 건설·기자재가 따라오고, 그 인증이 다른 나라 수출의 레퍼런스가 된다. 국내 재건축과 팹 건설도 같은 결이다.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RTS  </w:t>
      </w:r>
      <w:r>
        <w:rPr>
          <w:rFonts w:ascii="맑은 고딕" w:hAnsi="맑은 고딕" w:eastAsia="맑은 고딕"/>
          <w:b w:val="0"/>
          <w:color w:val="1A1A1A"/>
          <w:sz w:val="21"/>
        </w:rPr>
        <w:t>두산에너빌리티 주봉은 20주선에서 막혀 구름 안으로 돌아왔다. 버는 돈 대비 90배 안팎이라 미래 이익이 빨리 나와야 한다. 실적이 붙는 전력기기와는 결이 다르다.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산일전기 영업이익률은 FY26 37.5%에서 FY28 40.7%다. 2028년 154kV 양산과 블룸에너지 벤더 등록이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기존 특수변압기 + 154kV 제품 패키지 수주 가능 → Bloom Energy·데이터센터 고객 공략</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녹취  </w:t>
      </w:r>
      <w:r>
        <w:rPr>
          <w:rFonts w:ascii="맑은 고딕" w:hAnsi="맑은 고딕" w:eastAsia="맑은 고딕"/>
          <w:b w:val="0"/>
          <w:color w:val="1A1A1A"/>
          <w:sz w:val="21"/>
        </w:rPr>
        <w:t>미국 지수가 신고가인 동안, 중간선거 전까지 오를 때마다 현금을 조금씩 만들라는 월간 코멘트가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녹취  </w:t>
      </w:r>
      <w:r>
        <w:rPr>
          <w:rFonts w:ascii="맑은 고딕" w:hAnsi="맑은 고딕" w:eastAsia="맑은 고딕"/>
          <w:b w:val="0"/>
          <w:color w:val="1A1A1A"/>
          <w:sz w:val="21"/>
        </w:rPr>
        <w:t>인허가와 주민 반대는 주피터만의 일이 아니다. 버지니아·텍사스와 11월 중간선거가 같이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2028년 양산 목표 154kV 초고압 변압기(UHV Transformer) 신규 라인 구축</w:t>
      </w:r>
    </w:p>
    <w:p>
      <w:pPr>
        <w:spacing w:before="240" w:after="120" w:line="276" w:lineRule="auto"/>
        <w:jc w:val="left"/>
        <w:pBdr>
          <w:bottom w:val="single" w:sz="12" w:space="3" w:color="0F2043"/>
        </w:pBdr>
      </w:pPr>
      <w:r>
        <w:rPr>
          <w:rFonts w:ascii="맑은 고딕" w:hAnsi="맑은 고딕" w:eastAsia="맑은 고딕"/>
          <w:b/>
          <w:color w:val="0F2043"/>
          <w:sz w:val="32"/>
        </w:rPr>
        <w:t>8. 로봇 · 피지컬</w:t>
      </w:r>
    </w:p>
    <w:p>
      <w:pPr>
        <w:spacing w:before="0" w:after="120" w:line="276" w:lineRule="auto"/>
        <w:jc w:val="left"/>
      </w:pPr>
      <w:r>
        <w:rPr>
          <w:rFonts w:ascii="맑은 고딕" w:hAnsi="맑은 고딕" w:eastAsia="맑은 고딕"/>
          <w:b w:val="0"/>
          <w:color w:val="1A1A1A"/>
          <w:sz w:val="22"/>
        </w:rPr>
        <w:t>중국 휴머노이드는 출하 경쟁보다 현장 데이터가 병목이다. 하드웨어 해자는 뇌가 똑똑해지면 얇아진다.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박수현  </w:t>
      </w:r>
      <w:r>
        <w:rPr>
          <w:rFonts w:ascii="맑은 고딕" w:hAnsi="맑은 고딕" w:eastAsia="맑은 고딕"/>
          <w:b w:val="0"/>
          <w:color w:val="1A1A1A"/>
          <w:sz w:val="21"/>
        </w:rPr>
        <w:t>범용 로봇의 병목은 눈앞을 알아보는 모델이 아니라 관절 각·악력 같은 숫자 데이터다. 사람이 붙어 가르치는 텔레오퍼레이션과 로봇 단독 데이터가 필요하고, 유튜브 영상으로는 안 된다. 중국은 산업별 혁신센터 약 22곳으로 표준 데이터를 쌓는다. 미국이 중국 휴머노이드 수입을 빨리 막은 것은 그 표준 때문이다.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박수현  </w:t>
      </w:r>
      <w:r>
        <w:rPr>
          <w:rFonts w:ascii="맑은 고딕" w:hAnsi="맑은 고딕" w:eastAsia="맑은 고딕"/>
          <w:b w:val="0"/>
          <w:color w:val="1A1A1A"/>
          <w:sz w:val="21"/>
        </w:rPr>
        <w:t>유니트리 CEO는 상장 뒤 범용화에 20년을 말했다. 중국 인구는 2030년까지 4,500만~5,000만 명이 준다는 추정이고, 청년은 3교대 제조를 기피한다. 그래서 휴머노이드가 시급하다는 설명이다. 현금 보조금은 얇고, 연구소·공장을 3~5년 무상 제공하는 지원이 나온다.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박수현  </w:t>
      </w:r>
      <w:r>
        <w:rPr>
          <w:rFonts w:ascii="맑은 고딕" w:hAnsi="맑은 고딕" w:eastAsia="맑은 고딕"/>
          <w:b w:val="0"/>
          <w:color w:val="1A1A1A"/>
          <w:sz w:val="21"/>
        </w:rPr>
        <w:t>액추에이터는 시장이 커질수록 플레이어가 늘어 영원한 해자로 보기 어렵다. 뇌가 똑똑해지면 하드웨어 정밀도 의존이 떨어진다. 하드웨어에서 시작해 완성 로봇과 브레인으로 가는 청사진이 있는 곳을 본다. 중국의 끝판은 브레인 특화 에지봇 쪽이다.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박수현  </w:t>
      </w:r>
      <w:r>
        <w:rPr>
          <w:rFonts w:ascii="맑은 고딕" w:hAnsi="맑은 고딕" w:eastAsia="맑은 고딕"/>
          <w:b w:val="0"/>
          <w:color w:val="1A1A1A"/>
          <w:sz w:val="21"/>
        </w:rPr>
        <w:t>정부가 지분을 넣는 이유는 데이터 주권과 이익 회수, 기술 있는 곳만 남기는 선별이다. 상장은 유니트리·유비테크, 브레인 쪽 비상장은 에지봇·갈봇이다. 유니트리는 상장 후 반토막이고, 조달 자금의 브레인 비중을 5%에서 45%로 바꿨다.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박수현  </w:t>
      </w:r>
      <w:r>
        <w:rPr>
          <w:rFonts w:ascii="맑은 고딕" w:hAnsi="맑은 고딕" w:eastAsia="맑은 고딕"/>
          <w:b w:val="0"/>
          <w:color w:val="1A1A1A"/>
          <w:sz w:val="21"/>
        </w:rPr>
        <w:t>중공기술(섭컨)은 중국 자동화 점유 약 50%, 고객 약 4만 곳이다. 저장성 혁신센터와 나비 AI를 만들어 유럽 가전 라인 검사 공정에 넣었다. 연초 이후 수익률은 50~60%로 언급된다. 스마트팩토리의 감독자 역할이 그림이다.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박수현  </w:t>
      </w:r>
      <w:r>
        <w:rPr>
          <w:rFonts w:ascii="맑은 고딕" w:hAnsi="맑은 고딕" w:eastAsia="맑은 고딕"/>
          <w:b w:val="0"/>
          <w:color w:val="1A1A1A"/>
          <w:sz w:val="21"/>
        </w:rPr>
        <w:t>원가의 핵인 액추에이터가 싸졌다. 중국 유성 감속기는 대당 500위안 안쪽, 일본·독일 대비 약 10분의 1이다. 사람과의 충돌을 흡수해 하모닉보다 안전하고, 테슬라도 일부를 유성으로 바꾼다. 바퀴형 상체는 하모닉이 남는다.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박수현  </w:t>
      </w:r>
      <w:r>
        <w:rPr>
          <w:rFonts w:ascii="맑은 고딕" w:hAnsi="맑은 고딕" w:eastAsia="맑은 고딕"/>
          <w:b w:val="0"/>
          <w:color w:val="1A1A1A"/>
          <w:sz w:val="21"/>
        </w:rPr>
        <w:t>당장은 유니트리보다 유비테크가 낫다는 쪽이다. 띵커 모델이 있고 BYD 라인에 수년째 들어가 있다. 유니트리는 많은 브레인 업체의 레퍼런스 몸체라 과소평가할 단계는 아니지만, 뇌가 보이기 전에는 후순위다.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박수현  </w:t>
      </w:r>
      <w:r>
        <w:rPr>
          <w:rFonts w:ascii="맑은 고딕" w:hAnsi="맑은 고딕" w:eastAsia="맑은 고딕"/>
          <w:b w:val="0"/>
          <w:color w:val="1A1A1A"/>
          <w:sz w:val="21"/>
        </w:rPr>
        <w:t>월드 로봇 컨퍼런스에 기업 약 3,000곳, 신규 모델 200개 이상이 나왔다. 지난해 휴머노이드 출하의 약 97%가 중국이고, 그 70%는 연구·데이터 수집용이지 현장 배치가 아니다.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박수현  </w:t>
      </w:r>
      <w:r>
        <w:rPr>
          <w:rFonts w:ascii="맑은 고딕" w:hAnsi="맑은 고딕" w:eastAsia="맑은 고딕"/>
          <w:b w:val="0"/>
          <w:color w:val="1A1A1A"/>
          <w:sz w:val="21"/>
        </w:rPr>
        <w:t>휴머노이드 리베로 점수는 98~99로 변별력이 없고, 조건을 바꾼 플러스 지수는 제자리다. 파운데이션 모델만으로는 환경이 바뀌면 실패한다. 차이를 만드는 것은 현장 데이터다.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박수현  </w:t>
      </w:r>
      <w:r>
        <w:rPr>
          <w:rFonts w:ascii="맑은 고딕" w:hAnsi="맑은 고딕" w:eastAsia="맑은 고딕"/>
          <w:b w:val="0"/>
          <w:color w:val="1A1A1A"/>
          <w:sz w:val="21"/>
        </w:rPr>
        <w:t>전기차 공급망이 휴머노이드 부품으로 넘어오며 가격이 더 떨어진다. 과거 육성은 현금 보조금이라 좀비 기업이 늘었다. 부동산 세수가 말라 지금은 지분 투자와 무형 지원(연산, 토큰 API, 현장 데이터)으로 바뀌었다.</w:t>
      </w:r>
    </w:p>
    <w:p>
      <w:pPr>
        <w:spacing w:before="240" w:after="120" w:line="276" w:lineRule="auto"/>
        <w:jc w:val="left"/>
        <w:pBdr>
          <w:bottom w:val="single" w:sz="12" w:space="3" w:color="0F2043"/>
        </w:pBdr>
      </w:pPr>
      <w:r>
        <w:rPr>
          <w:rFonts w:ascii="맑은 고딕" w:hAnsi="맑은 고딕" w:eastAsia="맑은 고딕"/>
          <w:b/>
          <w:color w:val="0F2043"/>
          <w:sz w:val="32"/>
        </w:rPr>
        <w:t>9. 피크아웃 · 산업과 주가</w:t>
      </w:r>
    </w:p>
    <w:p>
      <w:pPr>
        <w:spacing w:before="0" w:after="120" w:line="276" w:lineRule="auto"/>
        <w:jc w:val="left"/>
      </w:pPr>
      <w:r>
        <w:rPr>
          <w:rFonts w:ascii="맑은 고딕" w:hAnsi="맑은 고딕" w:eastAsia="맑은 고딕"/>
          <w:b w:val="0"/>
          <w:color w:val="1A1A1A"/>
          <w:sz w:val="22"/>
        </w:rPr>
        <w:t>싼 배수와 긴 산업 스토리를 한 질문에 모았다. 2028년에도 성장이 이어지는가, 그리고 그 성장이 주가에 남는가다.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윤지호  </w:t>
      </w:r>
      <w:r>
        <w:rPr>
          <w:rFonts w:ascii="맑은 고딕" w:hAnsi="맑은 고딕" w:eastAsia="맑은 고딕"/>
          <w:b w:val="0"/>
          <w:color w:val="1A1A1A"/>
          <w:sz w:val="21"/>
        </w:rPr>
        <w:t>반도체 수출 금액은 강한 반면 단가는 주춤하다. 가격 사이클에서 물량 사이클로 넘어가는 초입이고, 증설 물량의 본격 반영은 그 이후다.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 녹취  </w:t>
      </w:r>
      <w:r>
        <w:rPr>
          <w:rFonts w:ascii="맑은 고딕" w:hAnsi="맑은 고딕" w:eastAsia="맑은 고딕"/>
          <w:b w:val="0"/>
          <w:color w:val="1A1A1A"/>
          <w:sz w:val="21"/>
        </w:rPr>
        <w:t>솔리다임 중복상장은 결정된 바 없다. 시장은 쪼개기에 우호적이지 않다. 다만 지금 낸드 업황은 생각보다 길어, 상장을 늦사이클 현금 확보로만 보기는 어렵다. YMTC 상장은 디램까지 노리는 다른 그림이다.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윤지호 · 녹취  </w:t>
      </w:r>
      <w:r>
        <w:rPr>
          <w:rFonts w:ascii="맑은 고딕" w:hAnsi="맑은 고딕" w:eastAsia="맑은 고딕"/>
          <w:b w:val="0"/>
          <w:color w:val="1A1A1A"/>
          <w:sz w:val="21"/>
        </w:rPr>
        <w:t>화장품은 수출이 좋은데도 성장 속도가 과거만 못하고 환율·원가 의심이 붙으며 멀티플이 죽었다. 퀄리티 종목은 그 의심이 가격에 나올 때 본다. 용기 원가 하나로 실적이 좌우된다는 해설은 과하다고 본다.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AI 데이터센터는 2000년 꼭대기보다 1997년 인프라 투자 초입에 가깝다. 개인적으로 봤던 2028년 정점은 더 길어진다. 미국 데이터센터는 약 40GW에서 2030년 120GW가 목표다.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김효진  </w:t>
      </w:r>
      <w:r>
        <w:rPr>
          <w:rFonts w:ascii="맑은 고딕" w:hAnsi="맑은 고딕" w:eastAsia="맑은 고딕"/>
          <w:b w:val="0"/>
          <w:color w:val="1A1A1A"/>
          <w:sz w:val="21"/>
        </w:rPr>
        <w:t>핵과 우주 경쟁처럼 전선이 숨은 모델 경쟁에서 에이전트·피지컬로 넓어진다. 피지컬 주가는 이미 한 번 갔다가 고점 대비 크게 빠졌고, 안전 검증 때문에 눈에 보이는 보급은 더 늦다.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윤지호 · 녹취  </w:t>
      </w:r>
      <w:r>
        <w:rPr>
          <w:rFonts w:ascii="맑은 고딕" w:hAnsi="맑은 고딕" w:eastAsia="맑은 고딕"/>
          <w:b w:val="0"/>
          <w:color w:val="1A1A1A"/>
          <w:sz w:val="21"/>
        </w:rPr>
        <w:t>7월 말 이후, 2028년에도 15% 이상 성장으로 분류된 종목은 약 26% 올랐고, 2027년 피크아웃으로 분류된 쪽은 약 14% 올랐다. 싼 PER은 2028년 증익률 둔화에 대한 질문으로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이지원 · 녹취  </w:t>
      </w:r>
      <w:r>
        <w:rPr>
          <w:rFonts w:ascii="맑은 고딕" w:hAnsi="맑은 고딕" w:eastAsia="맑은 고딕"/>
          <w:b w:val="0"/>
          <w:color w:val="1A1A1A"/>
          <w:sz w:val="21"/>
        </w:rPr>
        <w:t>하이닉스 400만 원에는 영업이익률 80%와 장기계약 40%가 필요하다. 마이크론 매출총이익률 80%대(87%·83%로 언급)가 그 숫자가 가능하다는 근거로 나온다. 2027년은 예상보다 더 타이트하다.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윤지호 · 녹취  </w:t>
      </w:r>
      <w:r>
        <w:rPr>
          <w:rFonts w:ascii="맑은 고딕" w:hAnsi="맑은 고딕" w:eastAsia="맑은 고딕"/>
          <w:b w:val="0"/>
          <w:color w:val="1A1A1A"/>
          <w:sz w:val="21"/>
        </w:rPr>
        <w:t>약한 고리로 프랑스 국채가 언급된다. 한국은 선행지수가 오르는데 동행지수가 못 따라오는 괴리가 있다. 지수 방향 베팅보다 2028년에 과실이 나오는 선행투자를 고르라는 결론이다.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윤지호 · 녹취  </w:t>
      </w:r>
      <w:r>
        <w:rPr>
          <w:rFonts w:ascii="맑은 고딕" w:hAnsi="맑은 고딕" w:eastAsia="맑은 고딕"/>
          <w:b w:val="0"/>
          <w:color w:val="1A1A1A"/>
          <w:sz w:val="21"/>
        </w:rPr>
        <w:t>이익은 의견이고 현금이 팩트다. 하이퍼스케일러 프리캐시플로가 마르면 반도체 매수 여력이 줄어든다. 국채 금리가 5%면 위험자산의 요구수익률이 올라 그 현금흐름이 더 마른다.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윤지호 · 녹취  </w:t>
      </w:r>
      <w:r>
        <w:rPr>
          <w:rFonts w:ascii="맑은 고딕" w:hAnsi="맑은 고딕" w:eastAsia="맑은 고딕"/>
          <w:b w:val="0"/>
          <w:color w:val="1A1A1A"/>
          <w:sz w:val="21"/>
        </w:rPr>
        <w:t>10년물 5.5%는 과거 투자 사이클에서 주가를 제약하던 구간에 대응되는 스트레스 라인으로 적혀 있다. 최근 금리 상승분 상당수는 물가가 아니라 실질금리다.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김효진 · 녹취  </w:t>
      </w:r>
      <w:r>
        <w:rPr>
          <w:rFonts w:ascii="맑은 고딕" w:hAnsi="맑은 고딕" w:eastAsia="맑은 고딕"/>
          <w:b w:val="0"/>
          <w:color w:val="1A1A1A"/>
          <w:sz w:val="21"/>
        </w:rPr>
        <w:t>고점 매도는 맞히기 어렵다는 전제로, 줄이려면 내년 봄까지 나눠 팔라는 조언이 있다. 횡보 구간에서는 배당으로 시간을 버티는 선택도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올해 구글 TPU 약 430만 개, 엔비디아 가속기 약 650만 개다. 2028년 구글은 700만 개 넘고 엔비디아는 약 1,000만 개로 본다. 아마존은 가속기보다 그래비톤 CPU가 세고, 엔비디아 베라 CPU 발주는 200억 달러를 넘는다. CPU는 서버 D램, 가속기는 HBM이다. 엔비디아 주가가 안 가도 한국 메모리는 갈 수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미국 10년물 5.2~5.3%면 보통은 주가가 무너져도 이상하지 않은데 AI가 받친다. 금리 상승의 상당 부분은 데이터센터 투자다. 부채가 많거나 신흥국·소비 신용 같은 약한 고리는 피하고, 전력·에너지·AI 인프라는 초중반이다. 반등할 때 약한 고리를 줄인다. 4분기는 범위를 벗어나기 어렵고, 오를 때 쫓지 말고 나눠 산다.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엔비디아 데이터센터에서 기타(네오클라우드·소버린·엔터프라이즈)가 400억 달러, 하이퍼스케일러가 480억 달러다. 구글 TPU 외부 판매는 올해 100억 달러, 내년 약 1,000억 달러에 마진 60%면 영업이익 600억 달러로 잉여현금이 플러스될 수 있다. 2028년 목표는 2,500억 달러, TPU 450만 개다.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신중호  </w:t>
      </w:r>
      <w:r>
        <w:rPr>
          <w:rFonts w:ascii="맑은 고딕" w:hAnsi="맑은 고딕" w:eastAsia="맑은 고딕"/>
          <w:b w:val="0"/>
          <w:color w:val="1A1A1A"/>
          <w:sz w:val="21"/>
        </w:rPr>
        <w:t>상반기 지수는 크게 올랐는데 계좌는 마이너스인 경우가 많았다. 하반기에서 내년 상반기는 지수는 삼성·하이닉스 때문에 파란 불이고 종목 계좌는 빨간 불이 될 수 있다. 10월도 9월과 비슷한 횡보이고, 은행·보험 구간은 이미 상당 부분 갔다. 지금은 현금흐름이 좋은 중소형이다.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신중호  </w:t>
      </w:r>
      <w:r>
        <w:rPr>
          <w:rFonts w:ascii="맑은 고딕" w:hAnsi="맑은 고딕" w:eastAsia="맑은 고딕"/>
          <w:b w:val="0"/>
          <w:color w:val="1A1A1A"/>
          <w:sz w:val="21"/>
        </w:rPr>
        <w:t>챗GPT 이후 4년간 미국 10년물은 4% 위였고 주가는 올랐다. 5%를 넘으면 조정이 나왔다. 명목 GDP가 약 5.5 퍼센트인데 금리가 그 언저리까지 오면 빌려 투자할 마진이 없다. 긴축이 경기를 식히면 금리는 4%대 중반으로 돌아오고 주가가 다시 열린다.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RTS  </w:t>
      </w:r>
      <w:r>
        <w:rPr>
          <w:rFonts w:ascii="맑은 고딕" w:hAnsi="맑은 고딕" w:eastAsia="맑은 고딕"/>
          <w:b w:val="0"/>
          <w:color w:val="1A1A1A"/>
          <w:sz w:val="21"/>
        </w:rPr>
        <w:t>10월 9일 베니스 영화제에 나온 일론 머스크 다큐는 기술 찬사보다 과장된 약속으로 주가를 받쳐 왔다는 비판이 강하다. 테슬라는 440달러 근처에서 357달러로, 나스닥 고점 대비 뒤처진다. 스페이스X도 이익이 아니라 이야기로 움직이는 구간이다.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김장렬  </w:t>
      </w:r>
      <w:r>
        <w:rPr>
          <w:rFonts w:ascii="맑은 고딕" w:hAnsi="맑은 고딕" w:eastAsia="맑은 고딕"/>
          <w:b w:val="0"/>
          <w:color w:val="1A1A1A"/>
          <w:sz w:val="21"/>
        </w:rPr>
        <w:t>설비투자를 늦추는 명분은 금리 숫자 자체가 아니라 토큰 수요가 생산성으로 안 이어질 때다. 가격이 80~90% 빠져도 사용량이 열 배 이상이면 매출은 유지된다. 2009년 8위 디램 업체도 100% 적자를 2년 버티고 나서 무너졌다.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네오클라우드는 미국 24개, 아시아 50개, 유럽 17개로 늘었지만 본격 투자는 아직이다. 오픈AI·앤트로픽 상장과 소버린 AI도 시작 전이다. 하이퍼스케일러, 네오클라우드, 소버린, 엔터프라이즈가 남았다.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철도는 미국 GDP의 3.5%, 인터넷은 1% 남짓, AI는 2.5%를 쓰는데 더 길 수 있다. 통신 때와 달리 칩은 TSMC가 다 봐서 중복 투자를 가리기 쉽다. 애리조나로 부족해 텍사스 공장까지 나온다.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RTS  </w:t>
      </w:r>
      <w:r>
        <w:rPr>
          <w:rFonts w:ascii="맑은 고딕" w:hAnsi="맑은 고딕" w:eastAsia="맑은 고딕"/>
          <w:b w:val="0"/>
          <w:color w:val="1A1A1A"/>
          <w:sz w:val="21"/>
        </w:rPr>
        <w:t>하나오션 주봉은 조선 헤드라인과 달리 약하다. AI 뉴스 주기와 경쟁이 안 된다. 현대차는 삼성전자·하이닉스가 못 가면 지수도 못 간다. 소재·장비 강세만으로 지수는 안 움직인다.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신중호  </w:t>
      </w:r>
      <w:r>
        <w:rPr>
          <w:rFonts w:ascii="맑은 고딕" w:hAnsi="맑은 고딕" w:eastAsia="맑은 고딕"/>
          <w:b w:val="0"/>
          <w:color w:val="1A1A1A"/>
          <w:sz w:val="21"/>
        </w:rPr>
        <w:t>지정학은 안 끝난다. 유럽이 방위비를 올린 것처럼 중동도 올리고, 빠진 미군은 동아시아로 온다. 대만·한국 리스크가 방산 수요다. 시진핑 3기 말인 2027년도 일정이다.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김효진  </w:t>
      </w:r>
      <w:r>
        <w:rPr>
          <w:rFonts w:ascii="맑은 고딕" w:hAnsi="맑은 고딕" w:eastAsia="맑은 고딕"/>
          <w:b w:val="0"/>
          <w:color w:val="1A1A1A"/>
          <w:sz w:val="21"/>
        </w:rPr>
        <w:t>올해의 실수로 수급의 파괴력을 꼽는다. 기업 본질이 나빠지지 않아도 수급이 먼저 흔들리고, 미국 펀드 포지션은 미리 보이지 않는다. 수급은 재료보다 앞설 수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윤지호  </w:t>
      </w:r>
      <w:r>
        <w:rPr>
          <w:rFonts w:ascii="맑은 고딕" w:hAnsi="맑은 고딕" w:eastAsia="맑은 고딕"/>
          <w:b w:val="0"/>
          <w:color w:val="1A1A1A"/>
          <w:sz w:val="21"/>
        </w:rPr>
        <w:t>지금 작동하는 규칙은 높은 배수에 사서 낮아진 배수에 파는 쪽이다. 선행투자의 과실이 내년 하반기 이후에 나오는 장비·전력·파운드리를 고른다.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김열매  </w:t>
      </w:r>
      <w:r>
        <w:rPr>
          <w:rFonts w:ascii="맑은 고딕" w:hAnsi="맑은 고딕" w:eastAsia="맑은 고딕"/>
          <w:b w:val="0"/>
          <w:color w:val="1A1A1A"/>
          <w:sz w:val="21"/>
        </w:rPr>
        <w:t>중국이 AI·로봇을 밀어붙이는 이유로 인구 감소와 군사 활용이 나온다. 유닛트리 로봇은 내년 4만 대, 다른 언급은 7만 대까지 간다.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김열매  </w:t>
      </w:r>
      <w:r>
        <w:rPr>
          <w:rFonts w:ascii="맑은 고딕" w:hAnsi="맑은 고딕" w:eastAsia="맑은 고딕"/>
          <w:b w:val="0"/>
          <w:color w:val="1A1A1A"/>
          <w:sz w:val="21"/>
        </w:rPr>
        <w:t>에이전트 보안 사고는 현실이다. 그래도 미국은 사고를 감수하고 깔아 보는 선택에 가깝고, 규제만으로 레이스가 멈춘다고 보지 않는다.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김열매  </w:t>
      </w:r>
      <w:r>
        <w:rPr>
          <w:rFonts w:ascii="맑은 고딕" w:hAnsi="맑은 고딕" w:eastAsia="맑은 고딕"/>
          <w:b w:val="0"/>
          <w:color w:val="1A1A1A"/>
          <w:sz w:val="21"/>
        </w:rPr>
        <w:t>속도 조절은 서로 멈추자는 담합에 가깝다. 2등으로 밀리는 것이 확실한 게임이고 중국이 멈추지 않으면 유지되기 어렵다는 쪽이다.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김효진  </w:t>
      </w:r>
      <w:r>
        <w:rPr>
          <w:rFonts w:ascii="맑은 고딕" w:hAnsi="맑은 고딕" w:eastAsia="맑은 고딕"/>
          <w:b w:val="0"/>
          <w:color w:val="1A1A1A"/>
          <w:sz w:val="21"/>
        </w:rPr>
        <w:t>닷컴 당시 통신 투자는 그 뒤로도 계속 늘었지만 관련 주가는 무너졌다. 투자가 계속된다는 사실만으로 주가가 지키지지 않는다.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김효진  </w:t>
      </w:r>
      <w:r>
        <w:rPr>
          <w:rFonts w:ascii="맑은 고딕" w:hAnsi="맑은 고딕" w:eastAsia="맑은 고딕"/>
          <w:b w:val="0"/>
          <w:color w:val="1A1A1A"/>
          <w:sz w:val="21"/>
        </w:rPr>
        <w:t>성장주가 버는 돈 대비 극단적으로 비싸 보이지는 않는다. 금리 하나 같은 단일 요인으로 고점을 맞히려고 하지 말라는 쪽이다.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김열매  </w:t>
      </w:r>
      <w:r>
        <w:rPr>
          <w:rFonts w:ascii="맑은 고딕" w:hAnsi="맑은 고딕" w:eastAsia="맑은 고딕"/>
          <w:b w:val="0"/>
          <w:color w:val="1A1A1A"/>
          <w:sz w:val="21"/>
        </w:rPr>
        <w:t>오픈AI가 흔들려도 인수자가 나올 수 있다. 미국 빅테크 시가총액이 커서, 기술만 있으면 증자로 살 수 있다는 비유다.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김효진  </w:t>
      </w:r>
      <w:r>
        <w:rPr>
          <w:rFonts w:ascii="맑은 고딕" w:hAnsi="맑은 고딕" w:eastAsia="맑은 고딕"/>
          <w:b w:val="0"/>
          <w:color w:val="1A1A1A"/>
          <w:sz w:val="21"/>
        </w:rPr>
        <w:t>이익 수준이 높아도 증가 속도가 유지되면 주가는 횡보가 아니다. 모멘텀의 기울기가 완만해지면 주가는 빠진다.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녹취  </w:t>
      </w:r>
      <w:r>
        <w:rPr>
          <w:rFonts w:ascii="맑은 고딕" w:hAnsi="맑은 고딕" w:eastAsia="맑은 고딕"/>
          <w:b w:val="0"/>
          <w:color w:val="1A1A1A"/>
          <w:sz w:val="21"/>
        </w:rPr>
        <w:t>화장품·바이오 수출은 좋지만, 화장품은 전체 수출의 약 2%라 지수 주도 자리는 아니다.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녹취  </w:t>
      </w:r>
      <w:r>
        <w:rPr>
          <w:rFonts w:ascii="맑은 고딕" w:hAnsi="맑은 고딕" w:eastAsia="맑은 고딕"/>
          <w:b w:val="0"/>
          <w:color w:val="1A1A1A"/>
          <w:sz w:val="21"/>
        </w:rPr>
        <w:t>의무공개매수 범위를 넓히는 조치는 처리가 보류됐다.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녹취  </w:t>
      </w:r>
      <w:r>
        <w:rPr>
          <w:rFonts w:ascii="맑은 고딕" w:hAnsi="맑은 고딕" w:eastAsia="맑은 고딕"/>
          <w:b w:val="0"/>
          <w:color w:val="1A1A1A"/>
          <w:sz w:val="21"/>
        </w:rPr>
        <w:t>피지컬 AI는 산업 전선이 넓어지는 이야기다. 주가는 이미 한 번 선반영된 뒤 고점 대비 크게 빠진 상태로, 눈에 보이는 상용화와 주가 시계는 따로 둔다.</w:t>
      </w:r>
    </w:p>
    <w:p>
      <w:pPr>
        <w:spacing w:before="240" w:after="120" w:line="276" w:lineRule="auto"/>
        <w:jc w:val="left"/>
        <w:pBdr>
          <w:bottom w:val="single" w:sz="12" w:space="3" w:color="0F2043"/>
        </w:pBdr>
      </w:pPr>
      <w:r>
        <w:rPr>
          <w:rFonts w:ascii="맑은 고딕" w:hAnsi="맑은 고딕" w:eastAsia="맑은 고딕"/>
          <w:b/>
          <w:color w:val="0F2043"/>
          <w:sz w:val="32"/>
        </w:rPr>
        <w:t>10. AI CapEx 리스크</w:t>
      </w:r>
    </w:p>
    <w:p>
      <w:pPr>
        <w:spacing w:before="0" w:after="120" w:line="276" w:lineRule="auto"/>
        <w:jc w:val="left"/>
      </w:pPr>
      <w:r>
        <w:rPr>
          <w:rFonts w:ascii="맑은 고딕" w:hAnsi="맑은 고딕" w:eastAsia="맑은 고딕"/>
          <w:b w:val="0"/>
          <w:color w:val="1A1A1A"/>
          <w:sz w:val="22"/>
        </w:rPr>
        <w:t>GPU 경제적 수명 가정은 3년 / 5년 / 7년이다. 브로드컴-앤트로픽 금융은 원문 표기 $42bn이다. Burry의 '감가상각/잔존가치 리스크' 문제제기는 타당성이 높지만, 이를 1960년대 버블과 동일한 구조라고 확대하는 부분은 타당성이 낮습니다.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RTS  </w:t>
      </w:r>
      <w:r>
        <w:rPr>
          <w:rFonts w:ascii="맑은 고딕" w:hAnsi="맑은 고딕" w:eastAsia="맑은 고딕"/>
          <w:b w:val="0"/>
          <w:color w:val="1A1A1A"/>
          <w:sz w:val="21"/>
        </w:rPr>
        <w:t>소프트웨어 대출 블루아울은 2022년 수준으로 되밀렸고 블랙스톤도 약하다. 빌려 준 돈의 이자가 의심받는 자리다. 금리는 아직 상승 추세고, 유가 불안도 해소 전이다. 지수가 고점 근처인 것과 종목이 편한 것은 다르다.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추론 수요로 A100/H100이 현금흐름을 이어 간다는 점이, 1960년대 컴퓨터 리스 버블과 다른 부분으로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한편 &lt;Burry의 「1960년대 컴퓨터 리스 버블」 비유&gt; 관련, Burry의 문제제기는 ‘AI 수요가 가짜’라는 주장이라기보다, GPU의 경제적 수명과 잔존가치를 지나치게 낙관하면 AI CapEx의 실제 수익성이 과대평가될 수 있다는 경고입니다만</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Anthropic의 AI 인프라 투자에 금융까지 제공하면서, AI 반도체 판매 → 금융 → 재구매의 순환구조가 강화되고 있습니다. 이런 현상을 순환투자 관점에서만 보면 우려지만</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Burry의 경고는 '새로운 위험의 발견'이라기보다, 시장이 이미 인식하고 있는 AI CapEx·GPU 잔존가치 리스크가 실제로 얼마나 큰지를 다시 환기시키는 주장</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투자 관점에서 가장 중요한 것은 Burry의 '버블인가 아닌가'가 아니라 GPU 경제적 수명 3년 vs 5년 vs 7년 중 어느 가정이 맞느냐입니다.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수명 가정이 갈리는 이름은 NVIDIA · CoreWeave · Oracle · Microsoft · Meta다.</w:t>
      </w:r>
    </w:p>
    <w:p>
      <w:pPr>
        <w:spacing w:before="240" w:after="120" w:line="276" w:lineRule="auto"/>
        <w:jc w:val="left"/>
        <w:pBdr>
          <w:bottom w:val="single" w:sz="12" w:space="3" w:color="0F2043"/>
        </w:pBdr>
      </w:pPr>
      <w:r>
        <w:rPr>
          <w:rFonts w:ascii="맑은 고딕" w:hAnsi="맑은 고딕" w:eastAsia="맑은 고딕"/>
          <w:b/>
          <w:color w:val="0F2043"/>
          <w:sz w:val="32"/>
        </w:rPr>
        <w:t>11. 포트폴리오</w:t>
      </w:r>
    </w:p>
    <w:p>
      <w:pPr>
        <w:spacing w:before="0" w:after="120" w:line="276" w:lineRule="auto"/>
        <w:jc w:val="left"/>
      </w:pPr>
      <w:r>
        <w:rPr>
          <w:rFonts w:ascii="맑은 고딕" w:hAnsi="맑은 고딕" w:eastAsia="맑은 고딕"/>
          <w:b w:val="0"/>
          <w:color w:val="1A1A1A"/>
          <w:sz w:val="22"/>
        </w:rPr>
        <w:t>경력자 포트는 AI 50~60%(삼전·닉스 30~40%, 소부장 20%), 2차전지 10%, 건설·조선 10%, 현금 20%다. 매매 시간이 적으면 현금 30%다.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박정호  </w:t>
      </w:r>
      <w:r>
        <w:rPr>
          <w:rFonts w:ascii="맑은 고딕" w:hAnsi="맑은 고딕" w:eastAsia="맑은 고딕"/>
          <w:b w:val="0"/>
          <w:color w:val="1A1A1A"/>
          <w:sz w:val="21"/>
        </w:rPr>
        <w:t>노르웨이 국부펀드는 국채 비중을 70에서 50%로 낮추고 주식을 포함한 다른 자산을 늘리라는 권고가 나왔다. 일본 공적기금은 자국 국채를 늘리고 해외 채권을 줄이며 미국 주식을 늘리는 쪽이다. 늘어날 주식은 종목 베팅보다 기술 지수 추종이 약 80%, 에너지가 약 20%다.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박정호  </w:t>
      </w:r>
      <w:r>
        <w:rPr>
          <w:rFonts w:ascii="맑은 고딕" w:hAnsi="맑은 고딕" w:eastAsia="맑은 고딕"/>
          <w:b w:val="0"/>
          <w:color w:val="1A1A1A"/>
          <w:sz w:val="21"/>
        </w:rPr>
        <w:t>민간 자금은 AI로 몰린다. 2024년 약 3,000억 달러, 올해 상반기만 4,500억 달러를 넘었다. 국부 펀드와 공공자금은 미국 주식·국채 비중이 한도를 넘겨 오히려 줄였다. 한도 재설정은 연간 계획 때라, 내년 공공자금은 AI 비중을 다시 올릴 수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신중호  </w:t>
      </w:r>
      <w:r>
        <w:rPr>
          <w:rFonts w:ascii="맑은 고딕" w:hAnsi="맑은 고딕" w:eastAsia="맑은 고딕"/>
          <w:b w:val="0"/>
          <w:color w:val="1A1A1A"/>
          <w:sz w:val="21"/>
        </w:rPr>
        <w:t>현금이 가는 곳이 다음 주도주다. 빅테크 현금이 엔비디아로, 그다음 메모리로 갔다. 이제 메모리와 엔비디아의 현금은 증설과 장비, 전력, 광학 부품으로 간다. 삼성전자·하이닉스는 시장 비중 50%를 40% 안쪽으로 두고, 그 현금을 받는 쪽을 보는 제안이다.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AI 기업이 5%에 돈을 빌리는 것은 그 이상 벌 수 있다고 보기 때문이다. 종목을 고를 때도 ROE 5% 미만은 가치가 약하고, 8~12%는 돼야 한다는 기준이다.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RTS  </w:t>
      </w:r>
      <w:r>
        <w:rPr>
          <w:rFonts w:ascii="맑은 고딕" w:hAnsi="맑은 고딕" w:eastAsia="맑은 고딕"/>
          <w:b w:val="0"/>
          <w:color w:val="1A1A1A"/>
          <w:sz w:val="21"/>
        </w:rPr>
        <w:t>코스닥 888은 비상금으로 잠깐 담는 자리다. 투자로 보면 안 된다. 주간 5.7% 반등에도 구름 아래고, 이유 없이 급락하는 차트다. 코스피 차트가 더 안정적이다.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연금 주식 비중은 100에서 나이를 뺀 수준이 한 기준이고, 은퇴가 가까우면 주식을 줄인다. 생활비 계좌와 연금 계좌는 나누는 쪽이다.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8월에서 9월로 코스닥 거래대금은 +8.7%, 코스피는 -25%, 코스닥 비중은 19%에서 28%다.</w:t>
      </w:r>
    </w:p>
    <w:p>
      <w:pPr>
        <w:spacing w:before="240" w:after="120" w:line="276" w:lineRule="auto"/>
        <w:jc w:val="left"/>
        <w:pBdr>
          <w:bottom w:val="single" w:sz="12" w:space="3" w:color="0F2043"/>
        </w:pBdr>
      </w:pPr>
      <w:r>
        <w:rPr>
          <w:rFonts w:ascii="맑은 고딕" w:hAnsi="맑은 고딕" w:eastAsia="맑은 고딕"/>
          <w:b/>
          <w:color w:val="0F2043"/>
          <w:sz w:val="32"/>
        </w:rPr>
        <w:t>확인할 조건</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val="0"/>
          <w:color w:val="1A1A1A"/>
          <w:sz w:val="21"/>
        </w:rPr>
        <w:t>전쟁이 진짜 끝으로 가면서 그래서 10년물 국채가 추세적으로 5%이하로 내려가면 (베스트 케이스)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val="0"/>
          <w:color w:val="1A1A1A"/>
          <w:sz w:val="21"/>
        </w:rPr>
        <w:t>실제 27년 이익이 증가세 확인되면 (투자자가들이 인식/기대)</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val="0"/>
          <w:color w:val="1A1A1A"/>
          <w:sz w:val="21"/>
        </w:rPr>
        <w:t>다만 10Y 5% 이상 장기화가 이 랠리의 가장 중요한 제약조건.</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val="0"/>
          <w:color w:val="1A1A1A"/>
          <w:sz w:val="21"/>
        </w:rPr>
        <w:t>다만 이란전쟁이 장기화될 경우 물가 상승과 동시에 노동시장 하방 리스크가 커지는 복합 리스크가 될 수 있음.</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val="0"/>
          <w:color w:val="1A1A1A"/>
          <w:sz w:val="21"/>
        </w:rPr>
        <w:t>연휴 앞두고 투자자들이 적극적인 대응을 자제하고 있습니다.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val="0"/>
          <w:color w:val="1A1A1A"/>
          <w:sz w:val="21"/>
        </w:rPr>
        <w:t>연휴 뒤에 종목장이 지속 전개될 가능성에 무게를 둡니다.</w:t>
      </w:r>
    </w:p>
    <w:sectPr w:rsidR="00FC693F" w:rsidRPr="0006063C" w:rsidSect="00034616">
      <w:headerReference w:type="default" r:id="rId9"/>
      <w:footerReference w:type="default" r:id="rId10"/>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b w:val="0"/>
        <w:color w:val="4B5563"/>
        <w:sz w:val="16"/>
      </w:rPr>
      <w:t xml:space="preserve">원문 추출  ·  숫자는 코멘트 표기  ·  매수·매도 권유 아님  ·  </w:t>
    </w:r>
    <w:fldSimple w:instr=" PAGE ">
      <w:r>
        <w:rPr>
          <w:sz w:val="16"/>
          <w:color w:val="4B5563"/>
          <w:rFonts w:ascii="맑은 고딕" w:hAnsi="맑은 고딕" w:eastAsia="맑은 고딕"/>
        </w:rPr>
        <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맑은 고딕" w:hAnsi="맑은 고딕" w:eastAsia="맑은 고딕"/>
        <w:b w:val="0"/>
        <w:color w:val="4B5563"/>
        <w:sz w:val="17"/>
      </w:rPr>
      <w:t>투자 인사이트 증류  ·  퀵코멘트 · 녹취</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투자 인사이트 증류</dc:title>
  <dc:subject>퀵코멘트와 방송 녹취에서 추출한 투자 인사이트</dc:subject>
  <dc:creator>준혁</dc:creator>
  <cp:keywords/>
  <dc:description>generated by python-docx</dc:description>
  <cp:lastModifiedBy/>
  <cp:revision>1</cp:revision>
  <dcterms:created xsi:type="dcterms:W3CDTF">2013-12-23T23:15:00Z</dcterms:created>
  <dcterms:modified xsi:type="dcterms:W3CDTF">2013-12-23T23:15:00Z</dcterms:modified>
  <cp:category/>
</cp:coreProperties>
</file>