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83" w:lineRule="auto"/>
        <w:jc w:val="center"/>
      </w:pPr>
      <w:r>
        <w:rPr>
          <w:rFonts w:ascii="맑은 고딕" w:hAnsi="맑은 고딕" w:eastAsia="맑은 고딕"/>
          <w:b w:val="0"/>
          <w:i w:val="0"/>
          <w:color w:val="4B5563"/>
          <w:sz w:val="21"/>
        </w:rPr>
        <w:t>LECTURE / REPORT  ·  2026. 8. 25</w:t>
      </w:r>
    </w:p>
    <w:p>
      <w:pPr>
        <w:spacing w:after="40" w:before="0" w:line="283" w:lineRule="auto"/>
        <w:jc w:val="center"/>
      </w:pPr>
      <w:r>
        <w:rPr>
          <w:rFonts w:ascii="맑은 고딕" w:hAnsi="맑은 고딕" w:eastAsia="맑은 고딕"/>
          <w:b/>
          <w:i w:val="0"/>
          <w:color w:val="B8943A"/>
          <w:sz w:val="26"/>
        </w:rPr>
        <w:t>상세 통합 레포트</w:t>
      </w:r>
    </w:p>
    <w:p>
      <w:pPr>
        <w:spacing w:after="40" w:before="0" w:line="283" w:lineRule="auto"/>
        <w:jc w:val="center"/>
      </w:pPr>
      <w:r>
        <w:rPr>
          <w:rFonts w:ascii="맑은 고딕" w:hAnsi="맑은 고딕" w:eastAsia="맑은 고딕"/>
          <w:b/>
          <w:i w:val="0"/>
          <w:color w:val="0F2043"/>
          <w:sz w:val="44"/>
        </w:rPr>
        <w:t>금리는 풋의 테스트다</w:t>
      </w:r>
    </w:p>
    <w:p>
      <w:pPr>
        <w:spacing w:after="160" w:before="0" w:line="283" w:lineRule="auto"/>
        <w:jc w:val="center"/>
      </w:pPr>
      <w:r>
        <w:rPr>
          <w:rFonts w:ascii="맑은 고딕" w:hAnsi="맑은 고딕" w:eastAsia="맑은 고딕"/>
          <w:b/>
          <w:i w:val="0"/>
          <w:color w:val="1E407C"/>
          <w:sz w:val="26"/>
        </w:rPr>
        <w:t>금리 급등 · 금융억압 · AI 전가 · 한국 수급 · 로봇</w:t>
      </w:r>
    </w:p>
    <w:p>
      <w:pPr>
        <w:spacing w:after="200" w:before="0" w:line="283" w:lineRule="auto"/>
        <w:jc w:val="center"/>
      </w:pPr>
      <w:r>
        <w:rPr>
          <w:rFonts w:ascii="맑은 고딕" w:hAnsi="맑은 고딕" w:eastAsia="맑은 고딕"/>
          <w:b w:val="0"/>
          <w:i w:val="0"/>
          <w:color w:val="4B5563"/>
          <w:sz w:val="21"/>
        </w:rPr>
        <w:t>작성일 2026. 8. 25  ·  8/24 검증 교정 반영  ·  공개 보도·공시·증권사 리포트 기준</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793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내용</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문서 성격</w:t>
            </w:r>
          </w:p>
        </w:tc>
        <w:tc>
          <w:tcPr>
            <w:tcW w:type="dxa" w:w="793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8/25 상세 통합 아웃라인 + 8/24 여섯 교정. 강의·레포트 형식</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한 줄</w:t>
            </w:r>
          </w:p>
        </w:tc>
        <w:tc>
          <w:tcPr>
            <w:tcW w:type="dxa" w:w="793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헤드라인 5%보다 풋이 먹히느냐, 15%는 GPU가 아니라 서버, 환원은 닉스가 먼저, 로봇은 1:1이 아니다</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읽는 법</w:t>
            </w:r>
          </w:p>
        </w:tc>
        <w:tc>
          <w:tcPr>
            <w:tcW w:type="dxa" w:w="793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[확인] 보도·원문  ·  [방송] 출연자 발언  ·  [가정] 시나리오  ·  [역산] 전제 있는 계산</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쓰지 말 것</w:t>
            </w:r>
          </w:p>
        </w:tc>
        <w:tc>
          <w:tcPr>
            <w:tcW w:type="dxa" w:w="793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매수·매도 추천  ·  금융억압=이번 주 매수 이유  ·  베선트 풋=QE  ·  Apple–CXMT 승인 루머</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일정 주의</w:t>
            </w:r>
          </w:p>
        </w:tc>
        <w:tc>
          <w:tcPr>
            <w:tcW w:type="dxa" w:w="793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바이백 창 9/9~11/4 [확인]. 일부 자료는 첫 확대 매입을 9/10으로 표기. NVIDIA 장 마감 후 약 05:20, 공식 콜 06:00 KST</w:t>
            </w:r>
          </w:p>
        </w:tc>
      </w:tr>
    </w:tbl>
    <w:p>
      <w:pPr>
        <w:spacing w:after="160" w:before="40"/>
      </w:pPr>
    </w:p>
    <w:p>
      <w:pPr>
        <w:spacing w:before="80" w:after="40"/>
        <w:jc w:val="center"/>
      </w:pPr>
      <w:r>
        <w:drawing>
          <wp:inline xmlns:a="http://schemas.openxmlformats.org/drawingml/2006/main" xmlns:pic="http://schemas.openxmlformats.org/drawingml/2006/picture">
            <wp:extent cx="5903999" cy="1928590"/>
            <wp:docPr id="1" name="Picture 1"/>
            <wp:cNvGraphicFramePr>
              <a:graphicFrameLocks noChangeAspect="1"/>
            </wp:cNvGraphicFramePr>
            <a:graphic>
              <a:graphicData uri="http://schemas.openxmlformats.org/drawingml/2006/picture">
                <pic:pic>
                  <pic:nvPicPr>
                    <pic:cNvPr id="0" name="20260825_source_legend.png"/>
                    <pic:cNvPicPr/>
                  </pic:nvPicPr>
                  <pic:blipFill>
                    <a:blip r:embed="rId11"/>
                    <a:stretch>
                      <a:fillRect/>
                    </a:stretch>
                  </pic:blipFill>
                  <pic:spPr>
                    <a:xfrm>
                      <a:off x="0" y="0"/>
                      <a:ext cx="5903999" cy="1928590"/>
                    </a:xfrm>
                    <a:prstGeom prst="rect"/>
                  </pic:spPr>
                </pic:pic>
              </a:graphicData>
            </a:graphic>
          </wp:inline>
        </w:drawing>
      </w:r>
    </w:p>
    <w:p>
      <w:pPr>
        <w:spacing w:before="0" w:after="200"/>
        <w:jc w:val="center"/>
      </w:pPr>
      <w:r>
        <w:rPr>
          <w:rFonts w:ascii="맑은 고딕" w:hAnsi="맑은 고딕" w:eastAsia="맑은 고딕"/>
          <w:b w:val="0"/>
          <w:i/>
          <w:color w:val="4B5563"/>
          <w:sz w:val="18"/>
        </w:rPr>
        <w:t>그림 0. 숫자 태그. 분모와 출처를 같이 읽는다.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0.  </w:t>
      </w:r>
      <w:r>
        <w:rPr>
          <w:rFonts w:ascii="맑은 고딕" w:hAnsi="맑은 고딕" w:eastAsia="맑은 고딕"/>
          <w:b/>
          <w:i w:val="0"/>
          <w:color w:val="0F2043"/>
          <w:sz w:val="32"/>
        </w:rPr>
        <w:t>핵심 요약</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판단</w:t>
            </w:r>
          </w:p>
          <w:p>
            <w:pPr>
              <w:spacing w:after="20" w:before="0" w:line="276" w:lineRule="auto"/>
            </w:pPr>
            <w:r>
              <w:rPr>
                <w:rFonts w:ascii="맑은 고딕" w:hAnsi="맑은 고딕" w:eastAsia="맑은 고딕"/>
                <w:b w:val="0"/>
                <w:i w:val="0"/>
                <w:color w:val="1A1A1A"/>
                <w:sz w:val="21"/>
              </w:rPr>
              <w:t>금리는 자동 폭락 신호가 아니라 베선트 풋이 임계를 막는지 보는 테스트다.</w:t>
            </w:r>
          </w:p>
          <w:p>
            <w:pPr>
              <w:spacing w:after="20" w:before="0" w:line="276" w:lineRule="auto"/>
            </w:pPr>
            <w:r>
              <w:rPr>
                <w:rFonts w:ascii="맑은 고딕" w:hAnsi="맑은 고딕" w:eastAsia="맑은 고딕"/>
                <w:b w:val="0"/>
                <w:i w:val="0"/>
                <w:color w:val="1A1A1A"/>
                <w:sz w:val="21"/>
              </w:rPr>
              <w:t>금융억압은 수년 시계의 스케치이지, 이번 주 매수 이유가 아니다.</w:t>
            </w:r>
          </w:p>
          <w:p>
            <w:pPr>
              <w:spacing w:after="20" w:before="0" w:line="276" w:lineRule="auto"/>
            </w:pPr>
            <w:r>
              <w:rPr>
                <w:rFonts w:ascii="맑은 고딕" w:hAnsi="맑은 고딕" w:eastAsia="맑은 고딕"/>
                <w:b w:val="0"/>
                <w:i w:val="0"/>
                <w:color w:val="1A1A1A"/>
                <w:sz w:val="21"/>
              </w:rPr>
              <w:t>AI 전가의 15%는 GPU ASP가 아니라 AI 칩 탑재 서버 시스템 가격이다.</w:t>
            </w:r>
          </w:p>
          <w:p>
            <w:pPr>
              <w:spacing w:after="20" w:before="0" w:line="276" w:lineRule="auto"/>
            </w:pPr>
            <w:r>
              <w:rPr>
                <w:rFonts w:ascii="맑은 고딕" w:hAnsi="맑은 고딕" w:eastAsia="맑은 고딕"/>
                <w:b w:val="0"/>
                <w:i w:val="0"/>
                <w:color w:val="1A1A1A"/>
                <w:sz w:val="21"/>
              </w:rPr>
              <w:t>한국 1라운드 수급은 닉스 40조 매입·전량소각이 삼성 배당보다 빠르다.</w:t>
            </w:r>
          </w:p>
          <w:p>
            <w:pPr>
              <w:spacing w:after="20" w:before="0" w:line="276" w:lineRule="auto"/>
            </w:pPr>
            <w:r>
              <w:rPr>
                <w:rFonts w:ascii="맑은 고딕" w:hAnsi="맑은 고딕" w:eastAsia="맑은 고딕"/>
                <w:b w:val="0"/>
                <w:i w:val="0"/>
                <w:color w:val="1A1A1A"/>
                <w:sz w:val="21"/>
              </w:rPr>
              <w:t>로봇은 로보티즈와 에스피지를 1:1로 비교하면 안 된다.</w:t>
            </w:r>
          </w:p>
        </w:tc>
      </w:tr>
    </w:tbl>
    <w:p>
      <w:pPr>
        <w:spacing w:after="120"/>
      </w:pPr>
    </w:p>
    <w:p>
      <w:pPr>
        <w:spacing w:before="200" w:after="80"/>
      </w:pPr>
      <w:r>
        <w:rPr>
          <w:rFonts w:ascii="맑은 고딕" w:hAnsi="맑은 고딕" w:eastAsia="맑은 고딕"/>
          <w:b/>
          <w:i w:val="0"/>
          <w:color w:val="1E407C"/>
          <w:sz w:val="26"/>
        </w:rPr>
        <w:t>0-1. 다섯 가지 결론</w:t>
      </w:r>
    </w:p>
    <w:p>
      <w:pPr>
        <w:spacing w:after="120" w:before="0" w:line="283" w:lineRule="auto"/>
        <w:jc w:val="left"/>
      </w:pPr>
      <w:r>
        <w:rPr>
          <w:rFonts w:ascii="맑은 고딕" w:hAnsi="맑은 고딕" w:eastAsia="맑은 고딕"/>
          <w:b w:val="0"/>
          <w:i w:val="0"/>
          <w:color w:val="1A1A1A"/>
          <w:sz w:val="22"/>
        </w:rPr>
        <w:t>첫째, 장기금리는 이미 시장의 경계선 근처에 있다. 세션 프린트는 미국 10년 4.704%, 30년 5.234%다 [방송]. Hartnett의 ‘30년을 5% 밑으로’는 이미 깨져 있다. 폭락이 없었으니 5%는 트리거가 아니라 풋이 먹히느냐의 테스트다. MRB의 10년 5% 근접 시 S&amp;P −15~20%는 새 뉴스가 아니다. 오는 경우는 베선트 풋이 임계를 못 막을 때뿐이다. 30년 TIPS 3.0%는 준혁 프레임의 본선이고, 8/21 레포트에서 쓴 최근 값은 약 2.94%다.</w:t>
      </w:r>
    </w:p>
    <w:p>
      <w:pPr>
        <w:spacing w:after="120" w:before="0" w:line="283" w:lineRule="auto"/>
        <w:jc w:val="left"/>
      </w:pPr>
      <w:r>
        <w:rPr>
          <w:rFonts w:ascii="맑은 고딕" w:hAnsi="맑은 고딕" w:eastAsia="맑은 고딕"/>
          <w:b w:val="0"/>
          <w:i w:val="0"/>
          <w:color w:val="1A1A1A"/>
          <w:sz w:val="22"/>
        </w:rPr>
        <w:t>둘째, 재무부는 장기채 유동성 지원 바이백을 회당 최대 20억 달러에서 최소 40억 달러로 올린다. 시행은 2026년 9월 9일부터 11월 4일까지다 [확인]. TGA는 약 9,500억~1조 달러로, 바이백 재원으로 쓰일 수 있다 [확인]. 베선트는 회당 40억 달러를 넘을 수 있다고 말했다. “아직 한 장도 안 샀다”는 [방송]이다. 이 풋은 QE가 아니다. 재무부가 이미 걷어 둔 현금으로 장기채를 사는 것이고, 연준 대차를 늘리는 일이 아니다.</w:t>
      </w:r>
    </w:p>
    <w:p>
      <w:pPr>
        <w:spacing w:after="120" w:before="0" w:line="283" w:lineRule="auto"/>
        <w:jc w:val="left"/>
      </w:pPr>
      <w:r>
        <w:rPr>
          <w:rFonts w:ascii="맑은 고딕" w:hAnsi="맑은 고딕" w:eastAsia="맑은 고딕"/>
          <w:b w:val="0"/>
          <w:i w:val="0"/>
          <w:color w:val="1A1A1A"/>
          <w:sz w:val="22"/>
        </w:rPr>
        <w:t>셋째, AI 비용은 메모리에서 서버로, 서버에서 광고·모델 가격·조달로 전가되고 있다. NVIDIA AI 칩을 탑재한 서버 시스템 가격이 많은 경우 15% 이상 오를 수 있다는 것은 Bloomberg 인용이지 공식 GPU ASP가 아니다 [확인]. Google 29.45%와 ChatGPT 25.94%는 미국 상업성·광고 유발 표본이다. OpenAI $3~$5는 권장 최대 CPC 입찰가다. 소프트뱅크의 1조 엔 개인 공모채(약 63억 달러, 7년 4.3~4.9%, 9월 4일 가격결정)와 OpenAI 약정 600억 달러 이상은 [확인]이다. 추가 3,000억 달러·6,460억 달러·13%·3월 400억 달러 브리지는 [방송]·부분 확인이다.</w:t>
      </w:r>
    </w:p>
    <w:p>
      <w:pPr>
        <w:spacing w:after="120" w:before="0" w:line="283" w:lineRule="auto"/>
        <w:jc w:val="left"/>
      </w:pPr>
      <w:r>
        <w:rPr>
          <w:rFonts w:ascii="맑은 고딕" w:hAnsi="맑은 고딕" w:eastAsia="맑은 고딕"/>
          <w:b w:val="0"/>
          <w:i w:val="0"/>
          <w:color w:val="1A1A1A"/>
          <w:sz w:val="22"/>
        </w:rPr>
        <w:t>넷째, 한국은 7월에 지수와 수급이 한 번에 깨진 뒤, 8월에 환원 발표로 1라운드 수급이 열렸다. SK하이닉스 40조 자사주 매입·전량소각과 FCF 50% 이상 환원은 [확인]이다. 첫날 속도 일 약 65만 주는 [방송]이다. 삼성전자 2026년 환원 90~110조, 3분기 현금배당 약 30조(10월 이사회), 잔여 60~80조는 2027년 1월이다 [확인]. 임직원 자사주 15조는 소각이 아니고, 금산법 10%가 소각을 제약한다 [확인/방송]. ABF는 필름 절대부족이 아니라 고사양 기판의 수율·유효 CAPA 병목으로 읽는다.</w:t>
      </w:r>
    </w:p>
    <w:p>
      <w:pPr>
        <w:spacing w:after="120" w:before="0" w:line="283" w:lineRule="auto"/>
        <w:jc w:val="left"/>
      </w:pPr>
      <w:r>
        <w:rPr>
          <w:rFonts w:ascii="맑은 고딕" w:hAnsi="맑은 고딕" w:eastAsia="맑은 고딕"/>
          <w:b w:val="0"/>
          <w:i w:val="0"/>
          <w:color w:val="1A1A1A"/>
          <w:sz w:val="22"/>
        </w:rPr>
        <w:t>다섯째, 로봇은 로보티즈의 QDD 직접성과 에스피지의 본업 방어력을 나눠 봐야 한다. 미래에셋 로보티즈 목표주가 35만6천 원은 2027년 SPS에 P/S 42.3배를 적용한 결과다. iM증권 에스피지 16만 원은 2029년 EPS에 P/E 60배를 적용한 결과다. 두 목표를 평균하면 안 된다. SDD는 중국 제품 무게의 약 90%, 즉 약 10% 경량화다. 5,000대는 목표이지 확정 발주가 아니다. Apple–CXMT·YMTC 승인은 웨이보발 루머(Wccftech 60% Plausible)이며 투자 근거가 아니다.</w:t>
      </w:r>
    </w:p>
    <w:p>
      <w:pPr>
        <w:spacing w:before="200" w:after="80"/>
      </w:pPr>
      <w:r>
        <w:rPr>
          <w:rFonts w:ascii="맑은 고딕" w:hAnsi="맑은 고딕" w:eastAsia="맑은 고딕"/>
          <w:b/>
          <w:i w:val="0"/>
          <w:color w:val="1E407C"/>
          <w:sz w:val="26"/>
        </w:rPr>
        <w:t>0-2. 8/24에서 유지하는 여섯 교정</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385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쓰면 안 되는 말</w:t>
            </w:r>
          </w:p>
        </w:tc>
        <w:tc>
          <w:tcPr>
            <w:tcW w:type="dxa" w:w="419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고쳐 쓸 말</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 150%</w:t>
            </w:r>
          </w:p>
        </w:tc>
        <w:tc>
          <w:tcPr>
            <w:tcW w:type="dxa" w:w="385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산업 전체 수요가 공급보다 50% 많다</w:t>
            </w:r>
          </w:p>
        </w:tc>
        <w:tc>
          <w:tcPr>
            <w:tcW w:type="dxa" w:w="419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데이터센터 고객의 구매 요구량이</w:t>
            </w:r>
          </w:p>
          <w:p>
            <w:pPr>
              <w:spacing w:before="0" w:after="0" w:line="269" w:lineRule="auto"/>
              <w:jc w:val="center"/>
            </w:pPr>
            <w:r>
              <w:rPr>
                <w:rFonts w:ascii="맑은 고딕" w:hAnsi="맑은 고딕" w:eastAsia="맑은 고딕"/>
                <w:b w:val="0"/>
                <w:i w:val="0"/>
                <w:color w:val="1A1A1A"/>
                <w:sz w:val="19"/>
              </w:rPr>
              <w:t>마이크론 확약 가능 공급량의 약 1.5배</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MCP · HBM · DDR5</w:t>
            </w:r>
          </w:p>
        </w:tc>
        <w:tc>
          <w:tcPr>
            <w:tcW w:type="dxa" w:w="385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MCP=HBM, MCP=DDR5</w:t>
            </w:r>
          </w:p>
        </w:tc>
        <w:tc>
          <w:tcPr>
            <w:tcW w:type="dxa" w:w="419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MCP는 패키지·통관 분류, HBM은 그 안의 제품,</w:t>
            </w:r>
          </w:p>
          <w:p>
            <w:pPr>
              <w:spacing w:before="0" w:after="0" w:line="269" w:lineRule="auto"/>
              <w:jc w:val="center"/>
            </w:pPr>
            <w:r>
              <w:rPr>
                <w:rFonts w:ascii="맑은 고딕" w:hAnsi="맑은 고딕" w:eastAsia="맑은 고딕"/>
                <w:b w:val="0"/>
                <w:i w:val="0"/>
                <w:color w:val="1A1A1A"/>
                <w:sz w:val="19"/>
              </w:rPr>
              <w:t>DDR5는 DRAM 세대 규격</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NVIDIA 15%</w:t>
            </w:r>
          </w:p>
        </w:tc>
        <w:tc>
          <w:tcPr>
            <w:tcW w:type="dxa" w:w="385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NVIDIA GPU 가격이 15% 오른다</w:t>
            </w:r>
          </w:p>
        </w:tc>
        <w:tc>
          <w:tcPr>
            <w:tcW w:type="dxa" w:w="419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NVIDIA AI 칩을 탑재한 서버 시스템 가격.</w:t>
            </w:r>
          </w:p>
          <w:p>
            <w:pPr>
              <w:spacing w:before="0" w:after="0" w:line="269" w:lineRule="auto"/>
              <w:jc w:val="center"/>
            </w:pPr>
            <w:r>
              <w:rPr>
                <w:rFonts w:ascii="맑은 고딕" w:hAnsi="맑은 고딕" w:eastAsia="맑은 고딕"/>
                <w:b w:val="0"/>
                <w:i w:val="0"/>
                <w:color w:val="1A1A1A"/>
                <w:sz w:val="19"/>
              </w:rPr>
              <w:t>Bloomberg 인용, 공식 GPU ASP 아님</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광고 노출률</w:t>
            </w:r>
          </w:p>
        </w:tc>
        <w:tc>
          <w:tcPr>
            <w:tcW w:type="dxa" w:w="385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 Mode 검색의 약 1/3, ChatGPT 전체의 26%</w:t>
            </w:r>
          </w:p>
        </w:tc>
        <w:tc>
          <w:tcPr>
            <w:tcW w:type="dxa" w:w="419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광고를 유발하도록 선별한 미국 상업성 표본에서</w:t>
            </w:r>
          </w:p>
          <w:p>
            <w:pPr>
              <w:spacing w:before="0" w:after="0" w:line="269" w:lineRule="auto"/>
              <w:jc w:val="center"/>
            </w:pPr>
            <w:r>
              <w:rPr>
                <w:rFonts w:ascii="맑은 고딕" w:hAnsi="맑은 고딕" w:eastAsia="맑은 고딕"/>
                <w:b w:val="0"/>
                <w:i w:val="0"/>
                <w:color w:val="1A1A1A"/>
                <w:sz w:val="19"/>
              </w:rPr>
              <w:t>29.45% · 25.94%</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OpenAI $3~$5</w:t>
            </w:r>
          </w:p>
        </w:tc>
        <w:tc>
          <w:tcPr>
            <w:tcW w:type="dxa" w:w="385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실제 CPC가 $3~$5</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초기 CPC 캠페인의 권장 최대 CPC 입찰가</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에스피지 SDD</w:t>
            </w:r>
          </w:p>
        </w:tc>
        <w:tc>
          <w:tcPr>
            <w:tcW w:type="dxa" w:w="385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중국산 대비 90% 경량화</w:t>
            </w:r>
          </w:p>
        </w:tc>
        <w:tc>
          <w:tcPr>
            <w:tcW w:type="dxa" w:w="419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중국 제품 무게의 약 90% 수준.</w:t>
            </w:r>
          </w:p>
          <w:p>
            <w:pPr>
              <w:spacing w:before="0" w:after="0" w:line="269" w:lineRule="auto"/>
              <w:jc w:val="center"/>
            </w:pPr>
            <w:r>
              <w:rPr>
                <w:rFonts w:ascii="맑은 고딕" w:hAnsi="맑은 고딕" w:eastAsia="맑은 고딕"/>
                <w:b w:val="0"/>
                <w:i w:val="0"/>
                <w:color w:val="1A1A1A"/>
                <w:sz w:val="19"/>
              </w:rPr>
              <w:t>즉 대략 10% 경량화</w:t>
            </w:r>
          </w:p>
        </w:tc>
      </w:tr>
    </w:tbl>
    <w:p>
      <w:pPr>
        <w:spacing w:after="160" w:before="40"/>
      </w:pPr>
    </w:p>
    <w:p>
      <w:pPr>
        <w:spacing w:before="200" w:after="80"/>
      </w:pPr>
      <w:r>
        <w:rPr>
          <w:rFonts w:ascii="맑은 고딕" w:hAnsi="맑은 고딕" w:eastAsia="맑은 고딕"/>
          <w:b/>
          <w:i w:val="0"/>
          <w:color w:val="1E407C"/>
          <w:sz w:val="26"/>
        </w:rPr>
        <w:t>0-3. 목차</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02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장</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제목</w:t>
            </w:r>
          </w:p>
        </w:tc>
        <w:tc>
          <w:tcPr>
            <w:tcW w:type="dxa" w:w="646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 장에서 답하는 질문</w:t>
            </w:r>
          </w:p>
        </w:tc>
      </w:tr>
      <w:tr>
        <w:trPr>
          <w:cantSplit/>
        </w:trPr>
        <w:tc>
          <w:tcPr>
            <w:tcW w:type="dxa" w:w="102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한 줄 프레임</w:t>
            </w:r>
          </w:p>
        </w:tc>
        <w:tc>
          <w:tcPr>
            <w:tcW w:type="dxa" w:w="646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무엇을 같이 보고, 무엇을 섞지 않는가</w:t>
            </w:r>
          </w:p>
        </w:tc>
      </w:tr>
      <w:tr>
        <w:trPr>
          <w:cantSplit/>
        </w:trPr>
        <w:tc>
          <w:tcPr>
            <w:tcW w:type="dxa" w:w="102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II</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금리</w:t>
            </w:r>
          </w:p>
        </w:tc>
        <w:tc>
          <w:tcPr>
            <w:tcW w:type="dxa" w:w="646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5%는 트리거인가, 풋의 테스트인가</w:t>
            </w:r>
          </w:p>
        </w:tc>
      </w:tr>
      <w:tr>
        <w:trPr>
          <w:cantSplit/>
        </w:trPr>
        <w:tc>
          <w:tcPr>
            <w:tcW w:type="dxa" w:w="102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III</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베선트 풋</w:t>
            </w:r>
          </w:p>
        </w:tc>
        <w:tc>
          <w:tcPr>
            <w:tcW w:type="dxa" w:w="646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바이백은 QE인가, TGA는 무엇을 바꾸는가</w:t>
            </w:r>
          </w:p>
        </w:tc>
      </w:tr>
      <w:tr>
        <w:trPr>
          <w:cantSplit/>
        </w:trPr>
        <w:tc>
          <w:tcPr>
            <w:tcW w:type="dxa" w:w="102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III-A</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정치와 데이터센터</w:t>
            </w:r>
          </w:p>
        </w:tc>
        <w:tc>
          <w:tcPr>
            <w:tcW w:type="dxa" w:w="646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규제 완화가 항상 호재인가</w:t>
            </w:r>
          </w:p>
        </w:tc>
      </w:tr>
      <w:tr>
        <w:trPr>
          <w:cantSplit/>
        </w:trPr>
        <w:tc>
          <w:tcPr>
            <w:tcW w:type="dxa" w:w="102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IV</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이번 주 분기</w:t>
            </w:r>
          </w:p>
        </w:tc>
        <w:tc>
          <w:tcPr>
            <w:tcW w:type="dxa" w:w="646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PCE·NVIDIA·금통위·Warsh를 어떻게 나누나</w:t>
            </w:r>
          </w:p>
        </w:tc>
      </w:tr>
      <w:tr>
        <w:trPr>
          <w:cantSplit/>
        </w:trPr>
        <w:tc>
          <w:tcPr>
            <w:tcW w:type="dxa" w:w="102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V</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금융억압</w:t>
            </w:r>
          </w:p>
        </w:tc>
        <w:tc>
          <w:tcPr>
            <w:tcW w:type="dxa" w:w="646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왜 수년 스케치이지 이번 주 매수 이유가 아닌가</w:t>
            </w:r>
          </w:p>
        </w:tc>
      </w:tr>
      <w:tr>
        <w:trPr>
          <w:cantSplit/>
        </w:trPr>
        <w:tc>
          <w:tcPr>
            <w:tcW w:type="dxa" w:w="102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VI</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 전가</w:t>
            </w:r>
          </w:p>
        </w:tc>
        <w:tc>
          <w:tcPr>
            <w:tcW w:type="dxa" w:w="646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서버 15%·구축·광고·모델 가격·조달을 어떻게 읽나</w:t>
            </w:r>
          </w:p>
        </w:tc>
      </w:tr>
      <w:tr>
        <w:trPr>
          <w:cantSplit/>
        </w:trPr>
        <w:tc>
          <w:tcPr>
            <w:tcW w:type="dxa" w:w="102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VII</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한국 수급</w:t>
            </w:r>
          </w:p>
        </w:tc>
        <w:tc>
          <w:tcPr>
            <w:tcW w:type="dxa" w:w="646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환원 1라운드, 7월 급락, 하반기, ABF, 네오클라우드</w:t>
            </w:r>
          </w:p>
        </w:tc>
      </w:tr>
      <w:tr>
        <w:trPr>
          <w:cantSplit/>
        </w:trPr>
        <w:tc>
          <w:tcPr>
            <w:tcW w:type="dxa" w:w="102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VIII</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로봇</w:t>
            </w:r>
          </w:p>
        </w:tc>
        <w:tc>
          <w:tcPr>
            <w:tcW w:type="dxa" w:w="646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로보티즈와 에스피지를 왜 1:1로 보면 안 되나</w:t>
            </w:r>
          </w:p>
        </w:tc>
      </w:tr>
      <w:tr>
        <w:trPr>
          <w:cantSplit/>
        </w:trPr>
        <w:tc>
          <w:tcPr>
            <w:tcW w:type="dxa" w:w="102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IX</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매도와 신호판</w:t>
            </w:r>
          </w:p>
        </w:tc>
        <w:tc>
          <w:tcPr>
            <w:tcW w:type="dxa" w:w="646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언제 줄이고, 어떤 조합이 체제를 바꾸나</w:t>
            </w:r>
          </w:p>
        </w:tc>
      </w:tr>
      <w:tr>
        <w:trPr>
          <w:cantSplit/>
        </w:trPr>
        <w:tc>
          <w:tcPr>
            <w:tcW w:type="dxa" w:w="102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X</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준혁 프레임</w:t>
            </w:r>
          </w:p>
        </w:tc>
        <w:tc>
          <w:tcPr>
            <w:tcW w:type="dxa" w:w="646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어제 교정을 유지하고 오늘 무엇을 추가하나</w:t>
            </w:r>
          </w:p>
        </w:tc>
      </w:tr>
      <w:tr>
        <w:trPr>
          <w:cantSplit/>
        </w:trPr>
        <w:tc>
          <w:tcPr>
            <w:tcW w:type="dxa" w:w="102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XI</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체크 순서</w:t>
            </w:r>
          </w:p>
        </w:tc>
        <w:tc>
          <w:tcPr>
            <w:tcW w:type="dxa" w:w="646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이번 주와 9월 9일을 어떤 순서로 보나</w:t>
            </w:r>
          </w:p>
        </w:tc>
      </w:tr>
      <w:tr>
        <w:trPr>
          <w:cantSplit/>
        </w:trPr>
        <w:tc>
          <w:tcPr>
            <w:tcW w:type="dxa" w:w="102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부록</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출처</w:t>
            </w:r>
          </w:p>
        </w:tc>
        <w:tc>
          <w:tcPr>
            <w:tcW w:type="dxa" w:w="646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확인·방송·가정·역산의 원문</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I.  </w:t>
      </w:r>
      <w:r>
        <w:rPr>
          <w:rFonts w:ascii="맑은 고딕" w:hAnsi="맑은 고딕" w:eastAsia="맑은 고딕"/>
          <w:b/>
          <w:i w:val="0"/>
          <w:color w:val="0F2043"/>
          <w:sz w:val="32"/>
        </w:rPr>
        <w:t>한 줄 프레임</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네 축을 한 문장에 넣되, 층위를 섞지 않는다.</w:t>
            </w:r>
          </w:p>
          <w:p>
            <w:pPr>
              <w:spacing w:after="20" w:before="0" w:line="276" w:lineRule="auto"/>
            </w:pPr>
            <w:r>
              <w:rPr>
                <w:rFonts w:ascii="맑은 고딕" w:hAnsi="맑은 고딕" w:eastAsia="맑은 고딕"/>
                <w:b w:val="0"/>
                <w:i w:val="0"/>
                <w:color w:val="1A1A1A"/>
                <w:sz w:val="21"/>
              </w:rPr>
              <w:t>금리 = 풋의 테스트. 전가 = 서버 시스템. 한국 = 닉스 수급이 먼저. 로봇 = 밸류와 출하를 분리.</w:t>
            </w:r>
          </w:p>
        </w:tc>
      </w:tr>
    </w:tbl>
    <w:p>
      <w:pPr>
        <w:spacing w:after="120"/>
      </w:pPr>
    </w:p>
    <w:p>
      <w:pPr>
        <w:spacing w:before="80" w:after="160" w:line="288" w:lineRule="auto"/>
        <w:jc w:val="center"/>
      </w:pPr>
      <w:r>
        <w:rPr>
          <w:rFonts w:ascii="맑은 고딕" w:hAnsi="맑은 고딕" w:eastAsia="맑은 고딕"/>
          <w:b/>
          <w:i w:val="0"/>
          <w:color w:val="0F2043"/>
          <w:sz w:val="22"/>
        </w:rPr>
        <w:t>장기금리 급등</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베선트 풋 테스트</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AI 비용 전가</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한국 환원 수급</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로봇은 1:1 아님</w:t>
      </w:r>
    </w:p>
    <w:p>
      <w:pPr>
        <w:spacing w:after="120" w:before="0" w:line="283" w:lineRule="auto"/>
        <w:jc w:val="left"/>
      </w:pPr>
      <w:r>
        <w:rPr>
          <w:rFonts w:ascii="맑은 고딕" w:hAnsi="맑은 고딕" w:eastAsia="맑은 고딕"/>
          <w:b w:val="0"/>
          <w:i w:val="0"/>
          <w:color w:val="1A1A1A"/>
          <w:sz w:val="22"/>
        </w:rPr>
        <w:t>8/21 레포트의 핵심 변수는 Fed 정책금리보다 30년 TIPS였다. 8/24 레포트의 핵심은 분모와 계약이었다. 8/25는 그 두 축을 한 주로 모은다. 금리가 할인율을 흔들고, 전가가 실물 가격을 올리고, 한국은 환원으로 수급을 만들고, 로봇은 목표주가보다 출하를 본다.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47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축</w:t>
            </w:r>
          </w:p>
        </w:tc>
        <w:tc>
          <w:tcPr>
            <w:tcW w:type="dxa" w:w="430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같이 볼 것</w:t>
            </w:r>
          </w:p>
        </w:tc>
        <w:tc>
          <w:tcPr>
            <w:tcW w:type="dxa" w:w="419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섞지 말 것</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금리</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10년 4.9% · 30년 5~6% · TIPS 3.0%</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헤드라인 5% = 자동 폭락</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풋</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9/9 실제 매입 · TGA 재원 · QE와 구분</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바이백 = 양적완화</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전가</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서버 시스템 · 광고 분모 · 조달 레버리지</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15% = GPU ASP</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한국</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닉스 소각 속도 · 삼성 배당 일정 · ABF 수율</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90~110조를 즉시 매입으로 읽기</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로봇</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QDD 직접성 vs 본업 방어력</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두 목표주가 평균 · 90% 경량화</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II.  </w:t>
      </w:r>
      <w:r>
        <w:rPr>
          <w:rFonts w:ascii="맑은 고딕" w:hAnsi="맑은 고딕" w:eastAsia="맑은 고딕"/>
          <w:b/>
          <w:i w:val="0"/>
          <w:color w:val="0F2043"/>
          <w:sz w:val="32"/>
        </w:rPr>
        <w:t>금리 — 헤드라인 5%는 트리거가 아니다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세션 금리는 10년 4.704%, 30년 5.234%다 [방송]. 30년 TIPS 본선은 3.0%다 (준혁 프레임).</w:t>
            </w:r>
          </w:p>
          <w:p>
            <w:pPr>
              <w:spacing w:after="20" w:before="0" w:line="276" w:lineRule="auto"/>
            </w:pPr>
            <w:r>
              <w:rPr>
                <w:rFonts w:ascii="맑은 고딕" w:hAnsi="맑은 고딕" w:eastAsia="맑은 고딕"/>
                <w:b w:val="0"/>
                <w:i w:val="0"/>
                <w:color w:val="1A1A1A"/>
                <w:sz w:val="21"/>
              </w:rPr>
              <w:t>Hartnett의 30년 5% 선은 이미 위에서 깨져 있다. 폭락이 없었으니 질문은 ‘누가 되돌리느냐’다.</w:t>
            </w:r>
          </w:p>
          <w:p>
            <w:pPr>
              <w:spacing w:after="20" w:before="0" w:line="276" w:lineRule="auto"/>
            </w:pPr>
            <w:r>
              <w:rPr>
                <w:rFonts w:ascii="맑은 고딕" w:hAnsi="맑은 고딕" w:eastAsia="맑은 고딕"/>
                <w:b w:val="0"/>
                <w:i w:val="0"/>
                <w:color w:val="1A1A1A"/>
                <w:sz w:val="21"/>
              </w:rPr>
              <w:t>10년 4.9% 이하는 이미 할인으로 읽는다. 10년 5%는 MRB 스트레스 구간이지 자동 폭락선이 아니다.</w:t>
            </w:r>
          </w:p>
        </w:tc>
      </w:tr>
    </w:tbl>
    <w:p>
      <w:pPr>
        <w:spacing w:after="120"/>
      </w:pPr>
    </w:p>
    <w:p>
      <w:pPr>
        <w:spacing w:before="80" w:after="40"/>
        <w:jc w:val="center"/>
      </w:pPr>
      <w:r>
        <w:drawing>
          <wp:inline xmlns:a="http://schemas.openxmlformats.org/drawingml/2006/main" xmlns:pic="http://schemas.openxmlformats.org/drawingml/2006/picture">
            <wp:extent cx="5903999" cy="2134226"/>
            <wp:docPr id="2" name="Picture 2"/>
            <wp:cNvGraphicFramePr>
              <a:graphicFrameLocks noChangeAspect="1"/>
            </wp:cNvGraphicFramePr>
            <a:graphic>
              <a:graphicData uri="http://schemas.openxmlformats.org/drawingml/2006/picture">
                <pic:pic>
                  <pic:nvPicPr>
                    <pic:cNvPr id="0" name="20260825_rate_thresholds.png"/>
                    <pic:cNvPicPr/>
                  </pic:nvPicPr>
                  <pic:blipFill>
                    <a:blip r:embed="rId12"/>
                    <a:stretch>
                      <a:fillRect/>
                    </a:stretch>
                  </pic:blipFill>
                  <pic:spPr>
                    <a:xfrm>
                      <a:off x="0" y="0"/>
                      <a:ext cx="5903999" cy="2134226"/>
                    </a:xfrm>
                    <a:prstGeom prst="rect"/>
                  </pic:spPr>
                </pic:pic>
              </a:graphicData>
            </a:graphic>
          </wp:inline>
        </w:drawing>
      </w:r>
    </w:p>
    <w:p>
      <w:pPr>
        <w:spacing w:before="0" w:after="200"/>
        <w:jc w:val="center"/>
      </w:pPr>
      <w:r>
        <w:rPr>
          <w:rFonts w:ascii="맑은 고딕" w:hAnsi="맑은 고딕" w:eastAsia="맑은 고딕"/>
          <w:b w:val="0"/>
          <w:i/>
          <w:color w:val="4B5563"/>
          <w:sz w:val="18"/>
        </w:rPr>
        <w:t>그림 1. 준혁 본선 임계와 최근 세션. 세션 숫자는 [방송]이다.</w:t>
      </w:r>
    </w:p>
    <w:p>
      <w:pPr>
        <w:spacing w:before="80" w:after="40"/>
        <w:jc w:val="center"/>
      </w:pPr>
      <w:r>
        <w:drawing>
          <wp:inline xmlns:a="http://schemas.openxmlformats.org/drawingml/2006/main" xmlns:pic="http://schemas.openxmlformats.org/drawingml/2006/picture">
            <wp:extent cx="5903999" cy="3475044"/>
            <wp:docPr id="3" name="Picture 3"/>
            <wp:cNvGraphicFramePr>
              <a:graphicFrameLocks noChangeAspect="1"/>
            </wp:cNvGraphicFramePr>
            <a:graphic>
              <a:graphicData uri="http://schemas.openxmlformats.org/drawingml/2006/picture">
                <pic:pic>
                  <pic:nvPicPr>
                    <pic:cNvPr id="0" name="20260825_pdf_fig01_rate_map.png"/>
                    <pic:cNvPicPr/>
                  </pic:nvPicPr>
                  <pic:blipFill>
                    <a:blip r:embed="rId13"/>
                    <a:stretch>
                      <a:fillRect/>
                    </a:stretch>
                  </pic:blipFill>
                  <pic:spPr>
                    <a:xfrm>
                      <a:off x="0" y="0"/>
                      <a:ext cx="5903999" cy="3475044"/>
                    </a:xfrm>
                    <a:prstGeom prst="rect"/>
                  </pic:spPr>
                </pic:pic>
              </a:graphicData>
            </a:graphic>
          </wp:inline>
        </w:drawing>
      </w:r>
    </w:p>
    <w:p>
      <w:pPr>
        <w:spacing w:before="0" w:after="200"/>
        <w:jc w:val="center"/>
      </w:pPr>
      <w:r>
        <w:rPr>
          <w:rFonts w:ascii="맑은 고딕" w:hAnsi="맑은 고딕" w:eastAsia="맑은 고딕"/>
          <w:b w:val="0"/>
          <w:i/>
          <w:color w:val="4B5563"/>
          <w:sz w:val="18"/>
        </w:rPr>
        <w:t>그림 1-2. 10년 5%는 스트레스 구간, 30년은 이미 5% 위다.</w:t>
      </w:r>
    </w:p>
    <w:p>
      <w:pPr>
        <w:spacing w:before="200" w:after="80"/>
      </w:pPr>
      <w:r>
        <w:rPr>
          <w:rFonts w:ascii="맑은 고딕" w:hAnsi="맑은 고딕" w:eastAsia="맑은 고딕"/>
          <w:b/>
          <w:i w:val="0"/>
          <w:color w:val="1E407C"/>
          <w:sz w:val="26"/>
        </w:rPr>
        <w:t>2-1. 무엇을 보나</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지표</w:t>
            </w:r>
          </w:p>
        </w:tc>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최근 값</w:t>
            </w:r>
          </w:p>
        </w:tc>
        <w:tc>
          <w:tcPr>
            <w:tcW w:type="dxa" w:w="272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준혁 본선</w:t>
            </w:r>
          </w:p>
        </w:tc>
        <w:tc>
          <w:tcPr>
            <w:tcW w:type="dxa" w:w="28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읽는 법</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미국 10년</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4.704% [방송]</w:t>
            </w:r>
          </w:p>
        </w:tc>
        <w:tc>
          <w:tcPr>
            <w:tcW w:type="dxa" w:w="2721"/>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4.9% 이하 = 이미 할인</w:t>
            </w:r>
          </w:p>
          <w:p>
            <w:pPr>
              <w:spacing w:before="0" w:after="0" w:line="269" w:lineRule="auto"/>
              <w:jc w:val="center"/>
            </w:pPr>
            <w:r>
              <w:rPr>
                <w:rFonts w:ascii="맑은 고딕" w:hAnsi="맑은 고딕" w:eastAsia="맑은 고딕"/>
                <w:b w:val="0"/>
                <w:i w:val="0"/>
                <w:color w:val="1A1A1A"/>
                <w:sz w:val="19"/>
              </w:rPr>
              <w:t>5.0% = 스트레스</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헤드라인 5%만으로 추가 충격이 오지는 않는다</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미국 30년</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5.234% [방송]</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6.0%</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Hartnett 5% 선은 이미 위. 풋의 테스트</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30년 TIPS</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최근 약 2.94% (8/21)</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Fed 단기금리보다 AI·메모리 할인율</w:t>
            </w:r>
          </w:p>
        </w:tc>
      </w:tr>
    </w:tbl>
    <w:p>
      <w:pPr>
        <w:spacing w:after="160" w:before="40"/>
      </w:pPr>
    </w:p>
    <w:p>
      <w:pPr>
        <w:spacing w:after="120" w:before="0" w:line="283" w:lineRule="auto"/>
        <w:jc w:val="left"/>
      </w:pPr>
      <w:r>
        <w:rPr>
          <w:rFonts w:ascii="맑은 고딕" w:hAnsi="맑은 고딕" w:eastAsia="맑은 고딕"/>
          <w:b w:val="0"/>
          <w:i w:val="0"/>
          <w:color w:val="1A1A1A"/>
          <w:sz w:val="22"/>
        </w:rPr>
        <w:t>8/21 레포트는 7월 17일~8월 17일 사이 2년물이 거의 안 움직이고 10·20·30년만 오른 Bear Steepening을 적었다. 단기금리는 Fed 영역, 장기금리는 적자·발행·인플레·텀프리미엄 영역이다. 따라서 Fed가 내려도 30년이 반드시 내려가지는 않는다.</w:t>
      </w:r>
    </w:p>
    <w:p>
      <w:pPr>
        <w:spacing w:before="200" w:after="80"/>
      </w:pPr>
      <w:r>
        <w:rPr>
          <w:rFonts w:ascii="맑은 고딕" w:hAnsi="맑은 고딕" w:eastAsia="맑은 고딕"/>
          <w:b/>
          <w:i w:val="0"/>
          <w:color w:val="1E407C"/>
          <w:sz w:val="26"/>
        </w:rPr>
        <w:t>2-2. 8월 24일 세션 — 금리가 빠져도 메모리는 팔렸다</w:t>
      </w:r>
    </w:p>
    <w:p>
      <w:pPr>
        <w:spacing w:after="120" w:before="0" w:line="283" w:lineRule="auto"/>
        <w:jc w:val="left"/>
      </w:pPr>
      <w:r>
        <w:rPr>
          <w:rFonts w:ascii="맑은 고딕" w:hAnsi="맑은 고딕" w:eastAsia="맑은 고딕"/>
          <w:b w:val="0"/>
          <w:i w:val="0"/>
          <w:color w:val="1A1A1A"/>
          <w:sz w:val="22"/>
        </w:rPr>
        <w:t>8월 24일 세션은 금리가 빠졌는데도 반도체가 집중 매도된 날로 읽힌다 [방송]. 다우 +0.26%, S&amp;P −0.28%, 나스닥 −0.76%, 필라델피아 반도체 약 −2.7%, NVIDIA −2.93%, SK하이닉스 ADR −4.98%, 마이크론 −5.85%, 샌디스크 −6.46%, WTI −2.35% [방송]. 금리 하락이 곧바로 메모리 매수로 이어지지 않았다. 실적·가이드·전가 뉴스가 따로 움직였다.</w:t>
      </w:r>
    </w:p>
    <w:p>
      <w:pPr>
        <w:spacing w:before="80" w:after="40"/>
        <w:jc w:val="center"/>
      </w:pPr>
      <w:r>
        <w:drawing>
          <wp:inline xmlns:a="http://schemas.openxmlformats.org/drawingml/2006/main" xmlns:pic="http://schemas.openxmlformats.org/drawingml/2006/picture">
            <wp:extent cx="5903999" cy="3497603"/>
            <wp:docPr id="4" name="Picture 4"/>
            <wp:cNvGraphicFramePr>
              <a:graphicFrameLocks noChangeAspect="1"/>
            </wp:cNvGraphicFramePr>
            <a:graphic>
              <a:graphicData uri="http://schemas.openxmlformats.org/drawingml/2006/picture">
                <pic:pic>
                  <pic:nvPicPr>
                    <pic:cNvPr id="0" name="20260825_pdf_fig02_aug24_market.png"/>
                    <pic:cNvPicPr/>
                  </pic:nvPicPr>
                  <pic:blipFill>
                    <a:blip r:embed="rId14"/>
                    <a:stretch>
                      <a:fillRect/>
                    </a:stretch>
                  </pic:blipFill>
                  <pic:spPr>
                    <a:xfrm>
                      <a:off x="0" y="0"/>
                      <a:ext cx="5903999" cy="3497603"/>
                    </a:xfrm>
                    <a:prstGeom prst="rect"/>
                  </pic:spPr>
                </pic:pic>
              </a:graphicData>
            </a:graphic>
          </wp:inline>
        </w:drawing>
      </w:r>
    </w:p>
    <w:p>
      <w:pPr>
        <w:spacing w:before="0" w:after="200"/>
        <w:jc w:val="center"/>
      </w:pPr>
      <w:r>
        <w:rPr>
          <w:rFonts w:ascii="맑은 고딕" w:hAnsi="맑은 고딕" w:eastAsia="맑은 고딕"/>
          <w:b w:val="0"/>
          <w:i/>
          <w:color w:val="4B5563"/>
          <w:sz w:val="18"/>
        </w:rPr>
        <w:t>그림 2. 8/24 세션. 지수보다 메모리 낙폭이 컸다 [방송].</w:t>
      </w:r>
    </w:p>
    <w:p>
      <w:pPr>
        <w:spacing w:before="200" w:after="80"/>
      </w:pPr>
      <w:r>
        <w:rPr>
          <w:rFonts w:ascii="맑은 고딕" w:hAnsi="맑은 고딕" w:eastAsia="맑은 고딕"/>
          <w:b/>
          <w:i w:val="0"/>
          <w:color w:val="1E407C"/>
          <w:sz w:val="26"/>
        </w:rPr>
        <w:t>2-3. 왜 금리가 오르나</w:t>
      </w:r>
    </w:p>
    <w:p>
      <w:pPr>
        <w:spacing w:after="120" w:before="0" w:line="283" w:lineRule="auto"/>
        <w:jc w:val="left"/>
      </w:pPr>
      <w:r>
        <w:rPr>
          <w:rFonts w:ascii="맑은 고딕" w:hAnsi="맑은 고딕" w:eastAsia="맑은 고딕"/>
          <w:b w:val="0"/>
          <w:i w:val="0"/>
          <w:color w:val="1A1A1A"/>
          <w:sz w:val="22"/>
        </w:rPr>
        <w:t>세 힘이 겹친다.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재정: FY2025 미국 순이자는 9,704억 달러로 국방 9,166억 달러를 넘었다 [확인]. Ferguson’s Law의 임계다 [확인].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공급: 국채 순발행과 하이퍼스케일러 장기 회사채가 같은 만기에서 자금을 다툰다. Rosenberg의 축이다.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인플레·텀프리미엄: 유가가 다시 오르면 할인율과 정책 신뢰가 같이 흔들린다. WTI 세션 $85.01은 [방송]이다.</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해석 주의</w:t>
            </w:r>
          </w:p>
          <w:p>
            <w:pPr>
              <w:spacing w:after="20" w:before="0" w:line="276" w:lineRule="auto"/>
            </w:pPr>
            <w:r>
              <w:rPr>
                <w:rFonts w:ascii="맑은 고딕" w:hAnsi="맑은 고딕" w:eastAsia="맑은 고딕"/>
                <w:b w:val="0"/>
                <w:i w:val="0"/>
                <w:color w:val="1A1A1A"/>
                <w:sz w:val="21"/>
              </w:rPr>
              <w:t>금리 상승에 따른 밸류에이션 조정은 AI·메모리 업황 악화와 같은 말이 아니다.</w:t>
            </w:r>
          </w:p>
          <w:p>
            <w:pPr>
              <w:spacing w:after="20" w:before="0" w:line="276" w:lineRule="auto"/>
            </w:pPr>
            <w:r>
              <w:rPr>
                <w:rFonts w:ascii="맑은 고딕" w:hAnsi="맑은 고딕" w:eastAsia="맑은 고딕"/>
                <w:b w:val="0"/>
                <w:i w:val="0"/>
                <w:color w:val="1A1A1A"/>
                <w:sz w:val="21"/>
              </w:rPr>
              <w:t>업황이 좋아도 할인율이 오르면 주가는 눌릴 수 있다. 반대도 성립한다.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III.  </w:t>
      </w:r>
      <w:r>
        <w:rPr>
          <w:rFonts w:ascii="맑은 고딕" w:hAnsi="맑은 고딕" w:eastAsia="맑은 고딕"/>
          <w:b/>
          <w:i w:val="0"/>
          <w:color w:val="0F2043"/>
          <w:sz w:val="32"/>
        </w:rPr>
        <w:t>베선트 풋 — QE가 아니다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재무부는 장기 명목국채 유동성 지원 바이백을 회당 최대 20억 달러에서 최소 40억 달러로 올린다 [확인].</w:t>
            </w:r>
          </w:p>
          <w:p>
            <w:pPr>
              <w:spacing w:after="20" w:before="0" w:line="276" w:lineRule="auto"/>
            </w:pPr>
            <w:r>
              <w:rPr>
                <w:rFonts w:ascii="맑은 고딕" w:hAnsi="맑은 고딕" w:eastAsia="맑은 고딕"/>
                <w:b w:val="0"/>
                <w:i w:val="0"/>
                <w:color w:val="1A1A1A"/>
                <w:sz w:val="21"/>
              </w:rPr>
              <w:t>시행 창은 2026년 9월 9일부터 11월 4일까지다 [확인]. TGA 약 9,500억~1조 달러가 재원이 될 수 있다 [확인].</w:t>
            </w:r>
          </w:p>
          <w:p>
            <w:pPr>
              <w:spacing w:after="20" w:before="0" w:line="276" w:lineRule="auto"/>
            </w:pPr>
            <w:r>
              <w:rPr>
                <w:rFonts w:ascii="맑은 고딕" w:hAnsi="맑은 고딕" w:eastAsia="맑은 고딕"/>
                <w:b w:val="0"/>
                <w:i w:val="0"/>
                <w:color w:val="1A1A1A"/>
                <w:sz w:val="21"/>
              </w:rPr>
              <w:t>베선트 풋은 신호와 수급이지, 연준의 대차 확대가 아니다.</w:t>
            </w:r>
          </w:p>
        </w:tc>
      </w:tr>
    </w:tbl>
    <w:p>
      <w:pPr>
        <w:spacing w:after="120"/>
      </w:pPr>
    </w:p>
    <w:p>
      <w:pPr>
        <w:spacing w:before="80" w:after="40"/>
        <w:jc w:val="center"/>
      </w:pPr>
      <w:r>
        <w:drawing>
          <wp:inline xmlns:a="http://schemas.openxmlformats.org/drawingml/2006/main" xmlns:pic="http://schemas.openxmlformats.org/drawingml/2006/picture">
            <wp:extent cx="5903999" cy="3066533"/>
            <wp:docPr id="5" name="Picture 5"/>
            <wp:cNvGraphicFramePr>
              <a:graphicFrameLocks noChangeAspect="1"/>
            </wp:cNvGraphicFramePr>
            <a:graphic>
              <a:graphicData uri="http://schemas.openxmlformats.org/drawingml/2006/picture">
                <pic:pic>
                  <pic:nvPicPr>
                    <pic:cNvPr id="0" name="20260825_bessent_vs_qe.png"/>
                    <pic:cNvPicPr/>
                  </pic:nvPicPr>
                  <pic:blipFill>
                    <a:blip r:embed="rId15"/>
                    <a:stretch>
                      <a:fillRect/>
                    </a:stretch>
                  </pic:blipFill>
                  <pic:spPr>
                    <a:xfrm>
                      <a:off x="0" y="0"/>
                      <a:ext cx="5903999" cy="3066533"/>
                    </a:xfrm>
                    <a:prstGeom prst="rect"/>
                  </pic:spPr>
                </pic:pic>
              </a:graphicData>
            </a:graphic>
          </wp:inline>
        </w:drawing>
      </w:r>
    </w:p>
    <w:p>
      <w:pPr>
        <w:spacing w:before="0" w:after="200"/>
        <w:jc w:val="center"/>
      </w:pPr>
      <w:r>
        <w:rPr>
          <w:rFonts w:ascii="맑은 고딕" w:hAnsi="맑은 고딕" w:eastAsia="맑은 고딕"/>
          <w:b w:val="0"/>
          <w:i/>
          <w:color w:val="4B5563"/>
          <w:sz w:val="18"/>
        </w:rPr>
        <w:t>그림 3. 누가 사나, 재원, 대차, 규모가 다르다.</w:t>
      </w:r>
    </w:p>
    <w:p>
      <w:pPr>
        <w:spacing w:before="200" w:after="80"/>
      </w:pPr>
      <w:r>
        <w:rPr>
          <w:rFonts w:ascii="맑은 고딕" w:hAnsi="맑은 고딕" w:eastAsia="맑은 고딕"/>
          <w:b/>
          <w:i w:val="0"/>
          <w:color w:val="1E407C"/>
          <w:sz w:val="26"/>
        </w:rPr>
        <w:t>3-1. 확인된 숫자</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635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내용</w:t>
            </w:r>
          </w:p>
        </w:tc>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태그</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규모</w:t>
            </w:r>
          </w:p>
        </w:tc>
        <w:tc>
          <w:tcPr>
            <w:tcW w:type="dxa" w:w="635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장기 명목 10~20년·20~30년 버킷, 회당 최대 $2B → 최소 $4B</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[확인]</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창</w:t>
            </w:r>
          </w:p>
        </w:tc>
        <w:tc>
          <w:tcPr>
            <w:tcW w:type="dxa" w:w="635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2026-09-09 ~ 2026-11-04. 다음 안내는 11/4 Quarterly Refunding</w:t>
            </w:r>
          </w:p>
        </w:tc>
        <w:tc>
          <w:tcPr>
            <w:tcW w:type="dxa" w:w="181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[확인]</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TGA</w:t>
            </w:r>
          </w:p>
        </w:tc>
        <w:tc>
          <w:tcPr>
            <w:tcW w:type="dxa" w:w="635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$950B~$1T. 이미 걷어 둔 세금·현금. 바이백 재원으로 쓰일 수 있음</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[확인]</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베선트 발언</w:t>
            </w:r>
          </w:p>
        </w:tc>
        <w:tc>
          <w:tcPr>
            <w:tcW w:type="dxa" w:w="635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회당 $4B를 넘을 수 있다. 조건은 시장 상황</w:t>
            </w:r>
          </w:p>
        </w:tc>
        <w:tc>
          <w:tcPr>
            <w:tcW w:type="dxa" w:w="181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[확인]</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아직 매입 전</w:t>
            </w:r>
          </w:p>
        </w:tc>
        <w:tc>
          <w:tcPr>
            <w:tcW w:type="dxa" w:w="635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“haven't bought a single one yet”</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[방송]</w:t>
            </w:r>
          </w:p>
        </w:tc>
      </w:tr>
    </w:tbl>
    <w:p>
      <w:pPr>
        <w:spacing w:after="160" w:before="40"/>
      </w:pPr>
    </w:p>
    <w:p>
      <w:pPr>
        <w:spacing w:after="120" w:before="0" w:line="283" w:lineRule="auto"/>
        <w:jc w:val="left"/>
      </w:pPr>
      <w:r>
        <w:rPr>
          <w:rFonts w:ascii="맑은 고딕" w:hAnsi="맑은 고딕" w:eastAsia="맑은 고딕"/>
          <w:b w:val="0"/>
          <w:i w:val="0"/>
          <w:color w:val="1A1A1A"/>
          <w:sz w:val="22"/>
        </w:rPr>
        <w:t>재무부 원문은 유동성 지원(liquidity support)이다. 장기 명목 쿠폰에서 시장 참가자의 우량 매도 호가가 꾸준히 들어왔다는 설명이다. 수익률 목표를 공식화한 문장은 아니다. CNBC 인터뷰에서 베선트는 현재 수익률이 펀더멘털을 반영하지 않으며 30년물 유동성이 매우 나쁘다고 말했다 [확인].</w:t>
      </w:r>
    </w:p>
    <w:p>
      <w:pPr>
        <w:spacing w:before="200" w:after="80"/>
      </w:pPr>
      <w:r>
        <w:rPr>
          <w:rFonts w:ascii="맑은 고딕" w:hAnsi="맑은 고딕" w:eastAsia="맑은 고딕"/>
          <w:b/>
          <w:i w:val="0"/>
          <w:color w:val="1E407C"/>
          <w:sz w:val="26"/>
        </w:rPr>
        <w:t>3-2. TGA를 쓰면 무엇이 달라지나</w:t>
      </w:r>
    </w:p>
    <w:p>
      <w:pPr>
        <w:spacing w:after="120" w:before="0" w:line="283" w:lineRule="auto"/>
        <w:jc w:val="left"/>
      </w:pPr>
      <w:r>
        <w:rPr>
          <w:rFonts w:ascii="맑은 고딕" w:hAnsi="맑은 고딕" w:eastAsia="맑은 고딕"/>
          <w:b w:val="0"/>
          <w:i w:val="0"/>
          <w:color w:val="1A1A1A"/>
          <w:sz w:val="22"/>
        </w:rPr>
        <w:t>시장은 처음 바이백을 ‘단기채를 찍어 장기채를 사는 트위스트’로 읽었다. TGA를 쓰면 이미 쌓아 둔 현금으로 장기채를 사는 경로가 열린다. 단기에는 수급과 신호에 플러스다. 구조적으로는 적자·인플레·순발행을 건드리지 않는다. TGA를 다시 채울 때는 발행이 늘거나 유동성이 회수된다.</w:t>
      </w:r>
    </w:p>
    <w:p>
      <w:pPr>
        <w:spacing w:before="80" w:after="40"/>
        <w:jc w:val="center"/>
      </w:pPr>
      <w:r>
        <w:drawing>
          <wp:inline xmlns:a="http://schemas.openxmlformats.org/drawingml/2006/main" xmlns:pic="http://schemas.openxmlformats.org/drawingml/2006/picture">
            <wp:extent cx="5903999" cy="3560778"/>
            <wp:docPr id="6" name="Picture 6"/>
            <wp:cNvGraphicFramePr>
              <a:graphicFrameLocks noChangeAspect="1"/>
            </wp:cNvGraphicFramePr>
            <a:graphic>
              <a:graphicData uri="http://schemas.openxmlformats.org/drawingml/2006/picture">
                <pic:pic>
                  <pic:nvPicPr>
                    <pic:cNvPr id="0" name="20260825_pdf_fig04_tga.png"/>
                    <pic:cNvPicPr/>
                  </pic:nvPicPr>
                  <pic:blipFill>
                    <a:blip r:embed="rId16"/>
                    <a:stretch>
                      <a:fillRect/>
                    </a:stretch>
                  </pic:blipFill>
                  <pic:spPr>
                    <a:xfrm>
                      <a:off x="0" y="0"/>
                      <a:ext cx="5903999" cy="3560778"/>
                    </a:xfrm>
                    <a:prstGeom prst="rect"/>
                  </pic:spPr>
                </pic:pic>
              </a:graphicData>
            </a:graphic>
          </wp:inline>
        </w:drawing>
      </w:r>
    </w:p>
    <w:p>
      <w:pPr>
        <w:spacing w:before="0" w:after="200"/>
        <w:jc w:val="center"/>
      </w:pPr>
      <w:r>
        <w:rPr>
          <w:rFonts w:ascii="맑은 고딕" w:hAnsi="맑은 고딕" w:eastAsia="맑은 고딕"/>
          <w:b w:val="0"/>
          <w:i/>
          <w:color w:val="4B5563"/>
          <w:sz w:val="18"/>
        </w:rPr>
        <w:t>그림 3-2. TGA 바이백은 단기 안정화와 구조적 한계를 같이 본다.</w:t>
      </w:r>
    </w:p>
    <w:tbl>
      <w:tblPr>
        <w:tblW w:type="auto" w:w="0"/>
        <w:jc w:val="center"/>
        <w:tblLayout w:type="autofit"/>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바이백 ≠ QE</w:t>
            </w:r>
          </w:p>
          <w:p>
            <w:pPr>
              <w:spacing w:after="20" w:before="0" w:line="276" w:lineRule="auto"/>
            </w:pPr>
            <w:r>
              <w:rPr>
                <w:rFonts w:ascii="맑은 고딕" w:hAnsi="맑은 고딕" w:eastAsia="맑은 고딕"/>
                <w:b w:val="0"/>
                <w:i w:val="0"/>
                <w:color w:val="1A1A1A"/>
                <w:sz w:val="21"/>
              </w:rPr>
              <w:t>사는 주체: 재무부. 재원: TGA 현금 또는 발행. 연준 준비금 창출이 아니다.</w:t>
            </w:r>
          </w:p>
          <w:p>
            <w:pPr>
              <w:spacing w:after="20" w:before="0" w:line="276" w:lineRule="auto"/>
            </w:pPr>
            <w:r>
              <w:rPr>
                <w:rFonts w:ascii="맑은 고딕" w:hAnsi="맑은 고딕" w:eastAsia="맑은 고딕"/>
                <w:b w:val="0"/>
                <w:i w:val="0"/>
                <w:color w:val="1A1A1A"/>
                <w:sz w:val="21"/>
              </w:rPr>
              <w:t>규모: 회당 수십억 달러. QE 사이클의 수조 달러와 자릿수가 다르다.</w:t>
            </w:r>
          </w:p>
          <w:p>
            <w:pPr>
              <w:spacing w:after="20" w:before="0" w:line="276" w:lineRule="auto"/>
            </w:pPr>
            <w:r>
              <w:rPr>
                <w:rFonts w:ascii="맑은 고딕" w:hAnsi="맑은 고딕" w:eastAsia="맑은 고딕"/>
                <w:b w:val="0"/>
                <w:i w:val="0"/>
                <w:color w:val="1A1A1A"/>
                <w:sz w:val="21"/>
              </w:rPr>
              <w:t>원인: 적자·발행·텀프리미엄은 그대로다. 풋은 급등을 제한할 수는 있어도 금리를 구조적으로 내리지는 못한다.</w:t>
            </w:r>
          </w:p>
        </w:tc>
      </w:tr>
    </w:tbl>
    <w:p>
      <w:pPr>
        <w:spacing w:after="120"/>
      </w:pPr>
    </w:p>
    <w:p>
      <w:pPr>
        <w:spacing w:after="120" w:before="0" w:line="283" w:lineRule="auto"/>
        <w:jc w:val="left"/>
      </w:pPr>
      <w:r>
        <w:rPr>
          <w:rFonts w:ascii="맑은 고딕" w:hAnsi="맑은 고딕" w:eastAsia="맑은 고딕"/>
          <w:b w:val="0"/>
          <w:i w:val="0"/>
          <w:color w:val="1A1A1A"/>
          <w:sz w:val="22"/>
        </w:rPr>
        <w:t>하트넷의 문장은 이것이다. 채권시장을 정상화하기 위한 정책적 패닉은 금리 상승을 제한할 수는 있지만 금리 자체를 낮추지는 못할 것이다. 30년을 5% 밑으로 되돌리지 못하면 위험자산 공매도 베팅이 커질 수 있다는 경고다. 8/25의 질문은 그 풋이 9월 9일 이후 실제로 호가를 받느냐다. 일부 2차 자료는 첫 확대 매입을 9월 10일로 적었다. 재무부 발표의 창 시작은 9월 9일이다 [확인].</w:t>
      </w:r>
    </w:p>
    <w:p>
      <w:pPr>
        <w:spacing w:before="280" w:after="160" w:line="264" w:lineRule="auto"/>
        <w:pBdr>
          <w:bottom w:val="single" w:sz="12" w:space="4" w:color="0F2043"/>
        </w:pBdr>
      </w:pPr>
      <w:r>
        <w:rPr>
          <w:rFonts w:ascii="맑은 고딕" w:hAnsi="맑은 고딕" w:eastAsia="맑은 고딕"/>
          <w:b/>
          <w:i w:val="0"/>
          <w:color w:val="B8943A"/>
          <w:sz w:val="32"/>
        </w:rPr>
        <w:t xml:space="preserve">III-A.  </w:t>
      </w:r>
      <w:r>
        <w:rPr>
          <w:rFonts w:ascii="맑은 고딕" w:hAnsi="맑은 고딕" w:eastAsia="맑은 고딕"/>
          <w:b/>
          <w:i w:val="0"/>
          <w:color w:val="0F2043"/>
          <w:sz w:val="32"/>
        </w:rPr>
        <w:t>정치와 AI 데이터센터 — 조합을 본다</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정치인을 응원하기보다 규제 × 재정·금리 조합을 본다. [PDF]</w:t>
            </w:r>
          </w:p>
          <w:p>
            <w:pPr>
              <w:spacing w:after="20" w:before="0" w:line="276" w:lineRule="auto"/>
            </w:pPr>
            <w:r>
              <w:rPr>
                <w:rFonts w:ascii="맑은 고딕" w:hAnsi="맑은 고딕" w:eastAsia="맑은 고딕"/>
                <w:b w:val="0"/>
                <w:i w:val="0"/>
                <w:color w:val="1A1A1A"/>
                <w:sz w:val="21"/>
              </w:rPr>
              <w:t>규제 완화 + 적자·관세 인플레는 실적은 좋아도 밸류가 꺾인다.</w:t>
            </w:r>
          </w:p>
          <w:p>
            <w:pPr>
              <w:spacing w:after="20" w:before="0" w:line="276" w:lineRule="auto"/>
            </w:pPr>
            <w:r>
              <w:rPr>
                <w:rFonts w:ascii="맑은 고딕" w:hAnsi="맑은 고딕" w:eastAsia="맑은 고딕"/>
                <w:b w:val="0"/>
                <w:i w:val="0"/>
                <w:color w:val="1A1A1A"/>
                <w:sz w:val="21"/>
              </w:rPr>
              <w:t>텍사스형 규제는 단기 CAPEX 지연과 장기 Dark GPU 억제를 같이 본다.</w:t>
            </w:r>
          </w:p>
        </w:tc>
      </w:tr>
    </w:tbl>
    <w:p>
      <w:pPr>
        <w:spacing w:after="120"/>
      </w:pPr>
    </w:p>
    <w:p>
      <w:pPr>
        <w:spacing w:before="80" w:after="40"/>
        <w:jc w:val="center"/>
      </w:pPr>
      <w:r>
        <w:drawing>
          <wp:inline xmlns:a="http://schemas.openxmlformats.org/drawingml/2006/main" xmlns:pic="http://schemas.openxmlformats.org/drawingml/2006/picture">
            <wp:extent cx="5903999" cy="3158898"/>
            <wp:docPr id="7" name="Picture 7"/>
            <wp:cNvGraphicFramePr>
              <a:graphicFrameLocks noChangeAspect="1"/>
            </wp:cNvGraphicFramePr>
            <a:graphic>
              <a:graphicData uri="http://schemas.openxmlformats.org/drawingml/2006/picture">
                <pic:pic>
                  <pic:nvPicPr>
                    <pic:cNvPr id="0" name="20260825_politics_2x2.png"/>
                    <pic:cNvPicPr/>
                  </pic:nvPicPr>
                  <pic:blipFill>
                    <a:blip r:embed="rId17"/>
                    <a:stretch>
                      <a:fillRect/>
                    </a:stretch>
                  </pic:blipFill>
                  <pic:spPr>
                    <a:xfrm>
                      <a:off x="0" y="0"/>
                      <a:ext cx="5903999" cy="3158898"/>
                    </a:xfrm>
                    <a:prstGeom prst="rect"/>
                  </pic:spPr>
                </pic:pic>
              </a:graphicData>
            </a:graphic>
          </wp:inline>
        </w:drawing>
      </w:r>
    </w:p>
    <w:p>
      <w:pPr>
        <w:spacing w:before="0" w:after="200"/>
        <w:jc w:val="center"/>
      </w:pPr>
      <w:r>
        <w:rPr>
          <w:rFonts w:ascii="맑은 고딕" w:hAnsi="맑은 고딕" w:eastAsia="맑은 고딕"/>
          <w:b w:val="0"/>
          <w:i/>
          <w:color w:val="4B5563"/>
          <w:sz w:val="18"/>
        </w:rPr>
        <w:t>그림 3-3. 규제 완화만 호재로 읽으면 안 된다.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408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정책 조합</w:t>
            </w:r>
          </w:p>
        </w:tc>
        <w:tc>
          <w:tcPr>
            <w:tcW w:type="dxa" w:w="294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AI 실적</w:t>
            </w:r>
          </w:p>
        </w:tc>
        <w:tc>
          <w:tcPr>
            <w:tcW w:type="dxa" w:w="294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밸류에이션</w:t>
            </w:r>
          </w:p>
        </w:tc>
      </w:tr>
      <w:tr>
        <w:trPr>
          <w:cantSplit/>
        </w:trPr>
        <w:tc>
          <w:tcPr>
            <w:tcW w:type="dxa" w:w="4082"/>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AI 규제 완화 + 재정 안정</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긍정</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긍정</w:t>
            </w:r>
          </w:p>
        </w:tc>
      </w:tr>
      <w:tr>
        <w:trPr>
          <w:cantSplit/>
        </w:trPr>
        <w:tc>
          <w:tcPr>
            <w:tcW w:type="dxa" w:w="4082"/>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AI 규제 완화 + 적자·관세 인플레</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실적 긍정</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장기금리 상승으로 부정</w:t>
            </w:r>
          </w:p>
        </w:tc>
      </w:tr>
      <w:tr>
        <w:trPr>
          <w:cantSplit/>
        </w:trPr>
        <w:tc>
          <w:tcPr>
            <w:tcW w:type="dxa" w:w="4082"/>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AI 규제 강화 + 금리 안정</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CAPEX 둔화</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일부 방어</w:t>
            </w:r>
          </w:p>
        </w:tc>
      </w:tr>
      <w:tr>
        <w:trPr>
          <w:cantSplit/>
        </w:trPr>
        <w:tc>
          <w:tcPr>
            <w:tcW w:type="dxa" w:w="4082"/>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AI 규제 강화 + 장기금리 상승</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부정</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가장 부정적</w:t>
            </w:r>
          </w:p>
        </w:tc>
      </w:tr>
    </w:tbl>
    <w:p>
      <w:pPr>
        <w:spacing w:after="160" w:before="40"/>
      </w:pPr>
    </w:p>
    <w:p>
      <w:pPr>
        <w:spacing w:before="200" w:after="80"/>
      </w:pPr>
      <w:r>
        <w:rPr>
          <w:rFonts w:ascii="맑은 고딕" w:hAnsi="맑은 고딕" w:eastAsia="맑은 고딕"/>
          <w:b/>
          <w:i w:val="0"/>
          <w:color w:val="1E407C"/>
          <w:sz w:val="26"/>
        </w:rPr>
        <w:t>3A-1. 텍사스 데이터센터의 양면 [PDF]</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단기: 인허가와 전력망 연결 지연이 AI CAPEX 집행을 늦출 수 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장기: 무분별한 증설을 막아 Dark GPU와 과잉공급 위험을 완화할 수 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규제가 항상 총수요 파괴는 아니다. 공급 규율 효과도 같이 본다.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IV.  </w:t>
      </w:r>
      <w:r>
        <w:rPr>
          <w:rFonts w:ascii="맑은 고딕" w:hAnsi="맑은 고딕" w:eastAsia="맑은 고딕"/>
          <w:b/>
          <w:i w:val="0"/>
          <w:color w:val="0F2043"/>
          <w:sz w:val="32"/>
        </w:rPr>
        <w:t>이번 주 분기 — 8/26~28, 그리고 9/9</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한 주 안에 물가, AI 실물수요, 한국 금리, Fed 반응함수가 겹친다.</w:t>
            </w:r>
          </w:p>
          <w:p>
            <w:pPr>
              <w:spacing w:after="20" w:before="0" w:line="276" w:lineRule="auto"/>
            </w:pPr>
            <w:r>
              <w:rPr>
                <w:rFonts w:ascii="맑은 고딕" w:hAnsi="맑은 고딕" w:eastAsia="맑은 고딕"/>
                <w:b w:val="0"/>
                <w:i w:val="0"/>
                <w:color w:val="1A1A1A"/>
                <w:sz w:val="21"/>
              </w:rPr>
              <w:t>기본과 최악은 [가정]이다. 확률을 점쳐 매매하지 말고 분기점으로만 관리한다.</w:t>
            </w:r>
          </w:p>
        </w:tc>
      </w:tr>
    </w:tbl>
    <w:p>
      <w:pPr>
        <w:spacing w:after="120"/>
      </w:pPr>
    </w:p>
    <w:p>
      <w:pPr>
        <w:spacing w:before="80" w:after="40"/>
        <w:jc w:val="center"/>
      </w:pPr>
      <w:r>
        <w:drawing>
          <wp:inline xmlns:a="http://schemas.openxmlformats.org/drawingml/2006/main" xmlns:pic="http://schemas.openxmlformats.org/drawingml/2006/picture">
            <wp:extent cx="5903999" cy="3288210"/>
            <wp:docPr id="8" name="Picture 8"/>
            <wp:cNvGraphicFramePr>
              <a:graphicFrameLocks noChangeAspect="1"/>
            </wp:cNvGraphicFramePr>
            <a:graphic>
              <a:graphicData uri="http://schemas.openxmlformats.org/drawingml/2006/picture">
                <pic:pic>
                  <pic:nvPicPr>
                    <pic:cNvPr id="0" name="20260825_week_branch.png"/>
                    <pic:cNvPicPr/>
                  </pic:nvPicPr>
                  <pic:blipFill>
                    <a:blip r:embed="rId18"/>
                    <a:stretch>
                      <a:fillRect/>
                    </a:stretch>
                  </pic:blipFill>
                  <pic:spPr>
                    <a:xfrm>
                      <a:off x="0" y="0"/>
                      <a:ext cx="5903999" cy="3288210"/>
                    </a:xfrm>
                    <a:prstGeom prst="rect"/>
                  </pic:spPr>
                </pic:pic>
              </a:graphicData>
            </a:graphic>
          </wp:inline>
        </w:drawing>
      </w:r>
    </w:p>
    <w:p>
      <w:pPr>
        <w:spacing w:before="0" w:after="200"/>
        <w:jc w:val="center"/>
      </w:pPr>
      <w:r>
        <w:rPr>
          <w:rFonts w:ascii="맑은 고딕" w:hAnsi="맑은 고딕" w:eastAsia="맑은 고딕"/>
          <w:b w:val="0"/>
          <w:i/>
          <w:color w:val="4B5563"/>
          <w:sz w:val="18"/>
        </w:rPr>
        <w:t>그림 4. 기본은 안착, 최악은 30년 5.4%와 코스피 6,000 테스트 [가정].</w:t>
      </w:r>
    </w:p>
    <w:p>
      <w:pPr>
        <w:spacing w:before="80" w:after="40"/>
        <w:jc w:val="center"/>
      </w:pPr>
      <w:r>
        <w:drawing>
          <wp:inline xmlns:a="http://schemas.openxmlformats.org/drawingml/2006/main" xmlns:pic="http://schemas.openxmlformats.org/drawingml/2006/picture">
            <wp:extent cx="5903999" cy="3055478"/>
            <wp:docPr id="9" name="Picture 9"/>
            <wp:cNvGraphicFramePr>
              <a:graphicFrameLocks noChangeAspect="1"/>
            </wp:cNvGraphicFramePr>
            <a:graphic>
              <a:graphicData uri="http://schemas.openxmlformats.org/drawingml/2006/picture">
                <pic:pic>
                  <pic:nvPicPr>
                    <pic:cNvPr id="0" name="20260825_pdf_fig05_timeline.png"/>
                    <pic:cNvPicPr/>
                  </pic:nvPicPr>
                  <pic:blipFill>
                    <a:blip r:embed="rId19"/>
                    <a:stretch>
                      <a:fillRect/>
                    </a:stretch>
                  </pic:blipFill>
                  <pic:spPr>
                    <a:xfrm>
                      <a:off x="0" y="0"/>
                      <a:ext cx="5903999" cy="3055478"/>
                    </a:xfrm>
                    <a:prstGeom prst="rect"/>
                  </pic:spPr>
                </pic:pic>
              </a:graphicData>
            </a:graphic>
          </wp:inline>
        </w:drawing>
      </w:r>
    </w:p>
    <w:p>
      <w:pPr>
        <w:spacing w:before="0" w:after="200"/>
        <w:jc w:val="center"/>
      </w:pPr>
      <w:r>
        <w:rPr>
          <w:rFonts w:ascii="맑은 고딕" w:hAnsi="맑은 고딕" w:eastAsia="맑은 고딕"/>
          <w:b w:val="0"/>
          <w:i/>
          <w:color w:val="4B5563"/>
          <w:sz w:val="18"/>
        </w:rPr>
        <w:t>그림 4-2. 검증 순서. NVIDIA 공식 콜은 보통 결과 직후다.</w:t>
      </w:r>
    </w:p>
    <w:p>
      <w:pPr>
        <w:spacing w:before="200" w:after="80"/>
      </w:pPr>
      <w:r>
        <w:rPr>
          <w:rFonts w:ascii="맑은 고딕" w:hAnsi="맑은 고딕" w:eastAsia="맑은 고딕"/>
          <w:b/>
          <w:i w:val="0"/>
          <w:color w:val="1E407C"/>
          <w:sz w:val="26"/>
        </w:rPr>
        <w:t>4-1. 네 개의 창</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170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시각 (KST)</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이벤트</w:t>
            </w:r>
          </w:p>
        </w:tc>
        <w:tc>
          <w:tcPr>
            <w:tcW w:type="dxa" w:w="45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보는 숫자</w:t>
            </w:r>
          </w:p>
        </w:tc>
        <w:tc>
          <w:tcPr>
            <w:tcW w:type="dxa" w:w="124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태그</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8/26 21:30</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7월 PCE</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가정 YoY +3.6% · 코어 +3.3%. 코어 3.4%면 9월 인상 확률 40%대</w:t>
            </w:r>
          </w:p>
        </w:tc>
        <w:tc>
          <w:tcPr>
            <w:tcW w:type="dxa" w:w="124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[가정]</w:t>
            </w:r>
          </w:p>
        </w:tc>
      </w:tr>
      <w:tr>
        <w:trPr>
          <w:cantSplit/>
        </w:trPr>
        <w:tc>
          <w:tcPr>
            <w:tcW w:type="dxa" w:w="170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8/27 06:00</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NVIDIA 공식 콜</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컨센 매출 약 $91.9~92.1B(+97% YoY). 회사 가이드 $91.0B ±2%</w:t>
            </w:r>
          </w:p>
        </w:tc>
        <w:tc>
          <w:tcPr>
            <w:tcW w:type="dxa" w:w="124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[확인]</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8/27 낮</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한국은행 금통위</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인상 vs 동결. 국내 채권·환율</w:t>
            </w:r>
          </w:p>
        </w:tc>
        <w:tc>
          <w:tcPr>
            <w:tcW w:type="dxa" w:w="124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[가정]</w:t>
            </w:r>
          </w:p>
        </w:tc>
      </w:tr>
      <w:tr>
        <w:trPr>
          <w:cantSplit/>
        </w:trPr>
        <w:tc>
          <w:tcPr>
            <w:tcW w:type="dxa" w:w="170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8/28 23:00</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Kevin Warsh 잭슨홀</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취임 후 첫 연설 · 포워드가이던스 폐지. 스티펠은 원론 예상</w:t>
            </w:r>
          </w:p>
        </w:tc>
        <w:tc>
          <w:tcPr>
            <w:tcW w:type="dxa" w:w="124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[방송]</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9/9~</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장기채 바이백 창</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실제 매입 규모와 호가. PDF는 첫 확대 매입을 9/10으로 표기</w:t>
            </w:r>
          </w:p>
        </w:tc>
        <w:tc>
          <w:tcPr>
            <w:tcW w:type="dxa" w:w="124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[확인]/[PDF]</w:t>
            </w:r>
          </w:p>
        </w:tc>
      </w:tr>
    </w:tbl>
    <w:p>
      <w:pPr>
        <w:spacing w:after="160" w:before="40"/>
      </w:pPr>
    </w:p>
    <w:p>
      <w:pPr>
        <w:spacing w:after="120" w:before="0" w:line="283" w:lineRule="auto"/>
        <w:jc w:val="left"/>
      </w:pPr>
      <w:r>
        <w:rPr>
          <w:rFonts w:ascii="맑은 고딕" w:hAnsi="맑은 고딕" w:eastAsia="맑은 고딕"/>
          <w:b w:val="0"/>
          <w:i w:val="0"/>
          <w:color w:val="1A1A1A"/>
          <w:sz w:val="22"/>
        </w:rPr>
        <w:t>NVIDIA는 FY27 2분기를 8월 26일 미국 장 마감 후 발표한다. 공식 콘퍼런스콜은 8월 27일 06:00 KST다 [확인]. 실적 수치는 콜 직전에 나오는 경우가 많다. 스트리트 매출은 약 919~921억 달러, 전년 대비 약 +97%다 [확인]. 회사 가이드는 910억 달러 ±2%다 [확인]. 3분기 컨센서스는 약 1,030~1,038억 달러다 [확인]. 마진은 75% 근방이다 [확인]. 실적보다 3분기 가이드와 마진, 메모리 비용 전가 언급이 핵심이다. Rosenblatt는 NVIDIA 목표주가 $325를 유지했다 [확인]. Needham은 SK하이닉스 ADR 목표주가를 $220으로 올렸다 [확인].</w:t>
      </w:r>
    </w:p>
    <w:p>
      <w:pPr>
        <w:spacing w:before="200" w:after="80"/>
      </w:pPr>
      <w:r>
        <w:rPr>
          <w:rFonts w:ascii="맑은 고딕" w:hAnsi="맑은 고딕" w:eastAsia="맑은 고딕"/>
          <w:b/>
          <w:i w:val="0"/>
          <w:color w:val="1E407C"/>
          <w:sz w:val="26"/>
        </w:rPr>
        <w:t>4-2. 2×2 — PCE와 가이드</w:t>
      </w:r>
    </w:p>
    <w:p>
      <w:pPr>
        <w:spacing w:before="80" w:after="40"/>
        <w:jc w:val="center"/>
      </w:pPr>
      <w:r>
        <w:drawing>
          <wp:inline xmlns:a="http://schemas.openxmlformats.org/drawingml/2006/main" xmlns:pic="http://schemas.openxmlformats.org/drawingml/2006/picture">
            <wp:extent cx="5903999" cy="3649379"/>
            <wp:docPr id="10" name="Picture 10"/>
            <wp:cNvGraphicFramePr>
              <a:graphicFrameLocks noChangeAspect="1"/>
            </wp:cNvGraphicFramePr>
            <a:graphic>
              <a:graphicData uri="http://schemas.openxmlformats.org/drawingml/2006/picture">
                <pic:pic>
                  <pic:nvPicPr>
                    <pic:cNvPr id="0" name="20260825_pdf_fig06_2x2.png"/>
                    <pic:cNvPicPr/>
                  </pic:nvPicPr>
                  <pic:blipFill>
                    <a:blip r:embed="rId20"/>
                    <a:stretch>
                      <a:fillRect/>
                    </a:stretch>
                  </pic:blipFill>
                  <pic:spPr>
                    <a:xfrm>
                      <a:off x="0" y="0"/>
                      <a:ext cx="5903999" cy="3649379"/>
                    </a:xfrm>
                    <a:prstGeom prst="rect"/>
                  </pic:spPr>
                </pic:pic>
              </a:graphicData>
            </a:graphic>
          </wp:inline>
        </w:drawing>
      </w:r>
    </w:p>
    <w:p>
      <w:pPr>
        <w:spacing w:before="0" w:after="200"/>
        <w:jc w:val="center"/>
      </w:pPr>
      <w:r>
        <w:rPr>
          <w:rFonts w:ascii="맑은 고딕" w:hAnsi="맑은 고딕" w:eastAsia="맑은 고딕"/>
          <w:b w:val="0"/>
          <w:i/>
          <w:color w:val="4B5563"/>
          <w:sz w:val="18"/>
        </w:rPr>
        <w:t>그림 4-3. PCE·금리 축과 NVIDIA 가이드 축. Warsh는 강도를 조절한다 [가정].</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r>
          </w:p>
        </w:tc>
        <w:tc>
          <w:tcPr>
            <w:tcW w:type="dxa" w:w="385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가이드 약함</w:t>
            </w:r>
          </w:p>
        </w:tc>
        <w:tc>
          <w:tcPr>
            <w:tcW w:type="dxa" w:w="408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가이드 강함</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PCE·금리 상방</w:t>
            </w:r>
          </w:p>
        </w:tc>
        <w:tc>
          <w:tcPr>
            <w:tcW w:type="dxa" w:w="385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최악 조합 [가정]</w:t>
            </w:r>
          </w:p>
          <w:p>
            <w:pPr>
              <w:spacing w:before="0" w:after="20" w:line="269" w:lineRule="auto"/>
              <w:jc w:val="center"/>
            </w:pPr>
            <w:r>
              <w:rPr>
                <w:rFonts w:ascii="맑은 고딕" w:hAnsi="맑은 고딕" w:eastAsia="맑은 고딕"/>
                <w:b w:val="0"/>
                <w:i w:val="0"/>
                <w:color w:val="1A1A1A"/>
                <w:sz w:val="19"/>
              </w:rPr>
              <w:t>할인율↑ + EPS 기대↓</w:t>
            </w:r>
          </w:p>
          <w:p>
            <w:pPr>
              <w:spacing w:before="0" w:after="0" w:line="269" w:lineRule="auto"/>
              <w:jc w:val="center"/>
            </w:pPr>
            <w:r>
              <w:rPr>
                <w:rFonts w:ascii="맑은 고딕" w:hAnsi="맑은 고딕" w:eastAsia="맑은 고딕"/>
                <w:b w:val="0"/>
                <w:i w:val="0"/>
                <w:color w:val="1A1A1A"/>
                <w:sz w:val="19"/>
              </w:rPr>
              <w:t>현금·헤지 비중을 먼저 본다</w:t>
            </w:r>
          </w:p>
        </w:tc>
        <w:tc>
          <w:tcPr>
            <w:tcW w:type="dxa" w:w="408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실적은 방어하지만 PER 축소 [가정]</w:t>
            </w:r>
          </w:p>
          <w:p>
            <w:pPr>
              <w:spacing w:before="0" w:after="0" w:line="269" w:lineRule="auto"/>
              <w:jc w:val="center"/>
            </w:pPr>
            <w:r>
              <w:rPr>
                <w:rFonts w:ascii="맑은 고딕" w:hAnsi="맑은 고딕" w:eastAsia="맑은 고딕"/>
                <w:b w:val="0"/>
                <w:i w:val="0"/>
                <w:color w:val="1A1A1A"/>
                <w:sz w:val="19"/>
              </w:rPr>
              <w:t>종목 선별과 분할 대응</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PCE·금리 안정</w:t>
            </w:r>
          </w:p>
        </w:tc>
        <w:tc>
          <w:tcPr>
            <w:tcW w:type="dxa" w:w="385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금리 부담은 줄고 AI 기대는 조정 [가정]</w:t>
            </w:r>
          </w:p>
          <w:p>
            <w:pPr>
              <w:spacing w:before="0" w:after="0" w:line="269" w:lineRule="auto"/>
              <w:jc w:val="center"/>
            </w:pPr>
            <w:r>
              <w:rPr>
                <w:rFonts w:ascii="맑은 고딕" w:hAnsi="맑은 고딕" w:eastAsia="맑은 고딕"/>
                <w:b w:val="0"/>
                <w:i w:val="0"/>
                <w:color w:val="1A1A1A"/>
                <w:sz w:val="19"/>
              </w:rPr>
              <w:t>비AI·방어로 순환 가능</w:t>
            </w:r>
          </w:p>
        </w:tc>
        <w:tc>
          <w:tcPr>
            <w:tcW w:type="dxa" w:w="408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가장 우호적 조합 [가정]</w:t>
            </w:r>
          </w:p>
          <w:p>
            <w:pPr>
              <w:spacing w:before="0" w:after="0" w:line="269" w:lineRule="auto"/>
              <w:jc w:val="center"/>
            </w:pPr>
            <w:r>
              <w:rPr>
                <w:rFonts w:ascii="맑은 고딕" w:hAnsi="맑은 고딕" w:eastAsia="맑은 고딕"/>
                <w:b w:val="0"/>
                <w:i w:val="0"/>
                <w:color w:val="1A1A1A"/>
                <w:sz w:val="19"/>
              </w:rPr>
              <w:t>반도체·전력·AI 인프라 위험선호</w:t>
            </w:r>
          </w:p>
        </w:tc>
      </w:tr>
    </w:tbl>
    <w:p>
      <w:pPr>
        <w:spacing w:after="160" w:before="40"/>
      </w:pPr>
    </w:p>
    <w:p>
      <w:pPr>
        <w:spacing w:after="120" w:before="0" w:line="283" w:lineRule="auto"/>
        <w:jc w:val="left"/>
      </w:pPr>
      <w:r>
        <w:rPr>
          <w:rFonts w:ascii="맑은 고딕" w:hAnsi="맑은 고딕" w:eastAsia="맑은 고딕"/>
          <w:b w:val="0"/>
          <w:i w:val="0"/>
          <w:color w:val="1A1A1A"/>
          <w:sz w:val="22"/>
        </w:rPr>
        <w:t>기본 [가정]은 엔비디아 부합 + PCE 예상 + Warsh 원론이다. 이 경우 코스피 7,000 안착~7,200(20주선)을 본다. 최악 [가정]은 가이드 미달 + 코어 상회 + 매파 연설이다. 이 경우 30년 5.4%, 코스피 6,000 지지 테스트를 본다. 둘 다 시나리오다. 매수·매도 신호가 아니다.</w:t>
      </w:r>
    </w:p>
    <w:p>
      <w:pPr>
        <w:spacing w:before="200" w:after="80"/>
      </w:pPr>
      <w:r>
        <w:rPr>
          <w:rFonts w:ascii="맑은 고딕" w:hAnsi="맑은 고딕" w:eastAsia="맑은 고딕"/>
          <w:b/>
          <w:i w:val="0"/>
          <w:color w:val="1E407C"/>
          <w:sz w:val="26"/>
        </w:rPr>
        <w:t>4-3. PCE 판정 프레임 [PDF]</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30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코어 PCE</w:t>
            </w:r>
          </w:p>
        </w:tc>
        <w:tc>
          <w:tcPr>
            <w:tcW w:type="dxa" w:w="691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시장 해석</w:t>
            </w:r>
          </w:p>
        </w:tc>
      </w:tr>
      <w:tr>
        <w:trPr>
          <w:cantSplit/>
        </w:trPr>
        <w:tc>
          <w:tcPr>
            <w:tcW w:type="dxa" w:w="306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3.2% 이하</w:t>
            </w:r>
          </w:p>
        </w:tc>
        <w:tc>
          <w:tcPr>
            <w:tcW w:type="dxa" w:w="691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장기금리 하락과 성장주에 우호적</w:t>
            </w:r>
          </w:p>
        </w:tc>
      </w:tr>
      <w:tr>
        <w:trPr>
          <w:cantSplit/>
        </w:trPr>
        <w:tc>
          <w:tcPr>
            <w:tcW w:type="dxa" w:w="306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약 3.3%</w:t>
            </w:r>
          </w:p>
        </w:tc>
        <w:tc>
          <w:tcPr>
            <w:tcW w:type="dxa" w:w="691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예상 부합. 관심이 NVIDIA 실적으로 이동</w:t>
            </w:r>
          </w:p>
        </w:tc>
      </w:tr>
      <w:tr>
        <w:trPr>
          <w:cantSplit/>
        </w:trPr>
        <w:tc>
          <w:tcPr>
            <w:tcW w:type="dxa" w:w="306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3.4%</w:t>
            </w:r>
          </w:p>
        </w:tc>
        <w:tc>
          <w:tcPr>
            <w:tcW w:type="dxa" w:w="691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추가 긴축 기대 재가격화 가능</w:t>
            </w:r>
          </w:p>
        </w:tc>
      </w:tr>
      <w:tr>
        <w:trPr>
          <w:cantSplit/>
        </w:trPr>
        <w:tc>
          <w:tcPr>
            <w:tcW w:type="dxa" w:w="306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3.5% 이상</w:t>
            </w:r>
          </w:p>
        </w:tc>
        <w:tc>
          <w:tcPr>
            <w:tcW w:type="dxa" w:w="691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10년 4.9% 접근과 성장주 할인 확대 위험</w:t>
            </w:r>
          </w:p>
        </w:tc>
      </w:tr>
    </w:tbl>
    <w:p>
      <w:pPr>
        <w:spacing w:after="160" w:before="40"/>
      </w:pPr>
    </w:p>
    <w:p>
      <w:pPr>
        <w:spacing w:after="120" w:before="0" w:line="283" w:lineRule="auto"/>
        <w:jc w:val="left"/>
      </w:pPr>
      <w:r>
        <w:rPr>
          <w:rFonts w:ascii="맑은 고딕" w:hAnsi="맑은 고딕" w:eastAsia="맑은 고딕"/>
          <w:b w:val="0"/>
          <w:i w:val="0"/>
          <w:color w:val="1A1A1A"/>
          <w:sz w:val="22"/>
        </w:rPr>
        <w:t>금리선물에 반영된 특정 회의의 인상 확률은 실시간으로 변하므로 고정 숫자로 쓰지 않는다. [PDF]</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Warsh 한 줄</w:t>
            </w:r>
          </w:p>
          <w:p>
            <w:pPr>
              <w:spacing w:after="20" w:before="0" w:line="276" w:lineRule="auto"/>
            </w:pPr>
            <w:r>
              <w:rPr>
                <w:rFonts w:ascii="맑은 고딕" w:hAnsi="맑은 고딕" w:eastAsia="맑은 고딕"/>
                <w:b w:val="0"/>
                <w:i w:val="0"/>
                <w:color w:val="1A1A1A"/>
                <w:sz w:val="21"/>
              </w:rPr>
              <w:t>매파 발언이 곧바로 악재는 아니다. 재정과 장기금리에 대한 신뢰가 붙으면 강도를 낮출 수 있다 [가정]. 단기금리에 매파적이어도 Fed 독립성과 장기 물가 안정 신뢰를 높이면 장기금리에 오히려 긍정적일 수 있다. [PDF]</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V.  </w:t>
      </w:r>
      <w:r>
        <w:rPr>
          <w:rFonts w:ascii="맑은 고딕" w:hAnsi="맑은 고딕" w:eastAsia="맑은 고딕"/>
          <w:b/>
          <w:i w:val="0"/>
          <w:color w:val="0F2043"/>
          <w:sz w:val="32"/>
        </w:rPr>
        <w:t>금융억압 — 수년 시계의 스케치</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선진국이 쌓인 명목 부채를 처리하는 역사적 본능은 긴축이나 디폴트보다 금융억압+인플레에 가깝다.</w:t>
            </w:r>
          </w:p>
          <w:p>
            <w:pPr>
              <w:spacing w:after="20" w:before="0" w:line="276" w:lineRule="auto"/>
            </w:pPr>
            <w:r>
              <w:rPr>
                <w:rFonts w:ascii="맑은 고딕" w:hAnsi="맑은 고딕" w:eastAsia="맑은 고딕"/>
                <w:b w:val="0"/>
                <w:i w:val="0"/>
                <w:color w:val="1A1A1A"/>
                <w:sz w:val="21"/>
              </w:rPr>
              <w:t>이것은 이번 주 종목을 고르는 이유가 아니다. 수년 시계의 자산 배분 스케치다.</w:t>
            </w:r>
          </w:p>
        </w:tc>
      </w:tr>
    </w:tbl>
    <w:p>
      <w:pPr>
        <w:spacing w:after="120"/>
      </w:pPr>
    </w:p>
    <w:p>
      <w:pPr>
        <w:spacing w:before="80" w:after="40"/>
        <w:jc w:val="center"/>
      </w:pPr>
      <w:r>
        <w:drawing>
          <wp:inline xmlns:a="http://schemas.openxmlformats.org/drawingml/2006/main" xmlns:pic="http://schemas.openxmlformats.org/drawingml/2006/picture">
            <wp:extent cx="5903999" cy="2901765"/>
            <wp:docPr id="11" name="Picture 11"/>
            <wp:cNvGraphicFramePr>
              <a:graphicFrameLocks noChangeAspect="1"/>
            </wp:cNvGraphicFramePr>
            <a:graphic>
              <a:graphicData uri="http://schemas.openxmlformats.org/drawingml/2006/picture">
                <pic:pic>
                  <pic:nvPicPr>
                    <pic:cNvPr id="0" name="20260825_repression_map.png"/>
                    <pic:cNvPicPr/>
                  </pic:nvPicPr>
                  <pic:blipFill>
                    <a:blip r:embed="rId21"/>
                    <a:stretch>
                      <a:fillRect/>
                    </a:stretch>
                  </pic:blipFill>
                  <pic:spPr>
                    <a:xfrm>
                      <a:off x="0" y="0"/>
                      <a:ext cx="5903999" cy="2901765"/>
                    </a:xfrm>
                    <a:prstGeom prst="rect"/>
                  </pic:spPr>
                </pic:pic>
              </a:graphicData>
            </a:graphic>
          </wp:inline>
        </w:drawing>
      </w:r>
    </w:p>
    <w:p>
      <w:pPr>
        <w:spacing w:before="0" w:after="200"/>
        <w:jc w:val="center"/>
      </w:pPr>
      <w:r>
        <w:rPr>
          <w:rFonts w:ascii="맑은 고딕" w:hAnsi="맑은 고딕" w:eastAsia="맑은 고딕"/>
          <w:b w:val="0"/>
          <w:i/>
          <w:color w:val="4B5563"/>
          <w:sz w:val="18"/>
        </w:rPr>
        <w:t>그림 5. 세 선택지와 누가 이기고 지는가. 이번 주 매수 이유가 아니다.</w:t>
      </w:r>
    </w:p>
    <w:p>
      <w:pPr>
        <w:spacing w:before="200" w:after="80"/>
      </w:pPr>
      <w:r>
        <w:rPr>
          <w:rFonts w:ascii="맑은 고딕" w:hAnsi="맑은 고딕" w:eastAsia="맑은 고딕"/>
          <w:b/>
          <w:i w:val="0"/>
          <w:color w:val="1E407C"/>
          <w:sz w:val="26"/>
        </w:rPr>
        <w:t>5-1. 왜 억압인가</w:t>
      </w:r>
    </w:p>
    <w:p>
      <w:pPr>
        <w:spacing w:after="120" w:before="0" w:line="283" w:lineRule="auto"/>
        <w:jc w:val="left"/>
      </w:pPr>
      <w:r>
        <w:rPr>
          <w:rFonts w:ascii="맑은 고딕" w:hAnsi="맑은 고딕" w:eastAsia="맑은 고딕"/>
          <w:b w:val="0"/>
          <w:i w:val="0"/>
          <w:color w:val="1A1A1A"/>
          <w:sz w:val="22"/>
        </w:rPr>
        <w:t>FY2025 미국 순이자 9,704억 달러는 국방 9,166억 달러를 넘었다 [확인]. Ferguson’s Law는 강대국이 국방보다 이자에 더 쓰면 강대국 지위를 잃을 위험이 커진다는 명제다 [확인]. 임계를 넘었다고 해서 즉시 몰락하는 법칙은 아니다. 다만 재정의 우선순위가 이미 이자에 가 있다는 사실은 남는다.</w:t>
      </w:r>
    </w:p>
    <w:p>
      <w:pPr>
        <w:spacing w:after="120" w:before="0" w:line="283" w:lineRule="auto"/>
        <w:jc w:val="left"/>
      </w:pPr>
      <w:r>
        <w:rPr>
          <w:rFonts w:ascii="맑은 고딕" w:hAnsi="맑은 고딕" w:eastAsia="맑은 고딕"/>
          <w:b w:val="0"/>
          <w:i w:val="0"/>
          <w:color w:val="1A1A1A"/>
          <w:sz w:val="22"/>
        </w:rPr>
        <w:t>정부는 대략 세 길을 본다.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15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선택</w:t>
            </w:r>
          </w:p>
        </w:tc>
        <w:tc>
          <w:tcPr>
            <w:tcW w:type="dxa" w:w="272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겉모습</w:t>
            </w:r>
          </w:p>
        </w:tc>
        <w:tc>
          <w:tcPr>
            <w:tcW w:type="dxa" w:w="510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왜 잘 안 쓰나</w:t>
            </w:r>
          </w:p>
        </w:tc>
      </w:tr>
      <w:tr>
        <w:trPr>
          <w:cantSplit/>
        </w:trPr>
        <w:tc>
          <w:tcPr>
            <w:tcW w:type="dxa" w:w="215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긴축</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정의로워 보인다</w:t>
            </w:r>
          </w:p>
        </w:tc>
        <w:tc>
          <w:tcPr>
            <w:tcW w:type="dxa" w:w="51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선진국에서 성공 사례가 드물다. 한국 IMF, 최근 프랑스 총리 교체가 기억에 남는다 [방송]</w:t>
            </w:r>
          </w:p>
        </w:tc>
      </w:tr>
      <w:tr>
        <w:trPr>
          <w:cantSplit/>
        </w:trPr>
        <w:tc>
          <w:tcPr>
            <w:tcW w:type="dxa" w:w="215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디폴트</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부채를 한 번에 정리</w:t>
            </w:r>
          </w:p>
        </w:tc>
        <w:tc>
          <w:tcPr>
            <w:tcW w:type="dxa" w:w="51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힘없는 나라의 선택. 기축국은 발권력이 있어 선택 이유가 거의 없다</w:t>
            </w:r>
          </w:p>
        </w:tc>
      </w:tr>
      <w:tr>
        <w:trPr>
          <w:cantSplit/>
        </w:trPr>
        <w:tc>
          <w:tcPr>
            <w:tcW w:type="dxa" w:w="215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금융억압 + 인플레</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명목금리를 물가보다 낮게 고정</w:t>
            </w:r>
          </w:p>
        </w:tc>
        <w:tc>
          <w:tcPr>
            <w:tcW w:type="dxa" w:w="51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실질금리가 마이너스가 되며 부채 부담이 녹는다. 불만은 나와도 봉기는 작다</w:t>
            </w:r>
          </w:p>
        </w:tc>
      </w:tr>
    </w:tbl>
    <w:p>
      <w:pPr>
        <w:spacing w:after="160" w:before="40"/>
      </w:pPr>
    </w:p>
    <w:p>
      <w:pPr>
        <w:spacing w:after="120" w:before="0" w:line="283" w:lineRule="auto"/>
        <w:jc w:val="left"/>
      </w:pPr>
      <w:r>
        <w:rPr>
          <w:rFonts w:ascii="맑은 고딕" w:hAnsi="맑은 고딕" w:eastAsia="맑은 고딕"/>
          <w:b w:val="0"/>
          <w:i w:val="0"/>
          <w:color w:val="1A1A1A"/>
          <w:sz w:val="22"/>
        </w:rPr>
        <w:t>일본의 실제 지불 이자 0.6~0.7%, 재정적자 약 GDP 7%는 [방송]이다. 기축국과 비기축국을 같은 공식에 넣으면 안 된다. 미국의 억압은 금리 상한을 공식화하기보다, 바이백·단기채 비중·규제 수요·인플레 용인으로 나타날 가능성이 크다 [가정].</w:t>
      </w:r>
    </w:p>
    <w:p>
      <w:pPr>
        <w:spacing w:before="200" w:after="80"/>
      </w:pPr>
      <w:r>
        <w:rPr>
          <w:rFonts w:ascii="맑은 고딕" w:hAnsi="맑은 고딕" w:eastAsia="맑은 고딕"/>
          <w:b/>
          <w:i w:val="0"/>
          <w:color w:val="1E407C"/>
          <w:sz w:val="26"/>
        </w:rPr>
        <w:t>5-2. 누가 이기고 지는가</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498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유리</w:t>
            </w:r>
          </w:p>
        </w:tc>
        <w:tc>
          <w:tcPr>
            <w:tcW w:type="dxa" w:w="498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불리</w:t>
            </w:r>
          </w:p>
        </w:tc>
      </w:tr>
      <w:tr>
        <w:trPr>
          <w:cantSplit/>
        </w:trPr>
        <w:tc>
          <w:tcPr>
            <w:tcW w:type="dxa" w:w="4989"/>
            <w:shd w:val="clear" w:color="auto" w:fill="FFFFFF"/>
            <w:tcMar>
              <w:top w:w="60" w:type="dxa"/>
              <w:left w:w="80" w:type="dxa"/>
              <w:bottom w:w="60" w:type="dxa"/>
              <w:right w:w="80" w:type="dxa"/>
            </w:tcMar>
          </w:tcPr>
          <w:p>
            <w:pPr>
              <w:spacing w:before="0" w:after="20" w:line="269" w:lineRule="auto"/>
              <w:jc w:val="left"/>
            </w:pPr>
            <w:r/>
            <w:r>
              <w:rPr>
                <w:rFonts w:ascii="맑은 고딕" w:hAnsi="맑은 고딕" w:eastAsia="맑은 고딕"/>
                <w:b/>
                <w:i w:val="0"/>
                <w:color w:val="1A1A1A"/>
                <w:sz w:val="19"/>
              </w:rPr>
              <w:t>고정금리 채무자</w:t>
            </w:r>
          </w:p>
          <w:p>
            <w:pPr>
              <w:spacing w:before="0" w:after="20" w:line="269" w:lineRule="auto"/>
              <w:jc w:val="left"/>
            </w:pPr>
            <w:r>
              <w:rPr>
                <w:rFonts w:ascii="맑은 고딕" w:hAnsi="맑은 고딕" w:eastAsia="맑은 고딕"/>
                <w:b/>
                <w:i w:val="0"/>
                <w:color w:val="1A1A1A"/>
                <w:sz w:val="19"/>
              </w:rPr>
              <w:t>실물(부동산·금·농)</w:t>
            </w:r>
          </w:p>
          <w:p>
            <w:pPr>
              <w:spacing w:before="0" w:after="0" w:line="269" w:lineRule="auto"/>
              <w:jc w:val="left"/>
            </w:pPr>
            <w:r>
              <w:rPr>
                <w:rFonts w:ascii="맑은 고딕" w:hAnsi="맑은 고딕" w:eastAsia="맑은 고딕"/>
                <w:b/>
                <w:i w:val="0"/>
                <w:color w:val="1A1A1A"/>
                <w:sz w:val="19"/>
              </w:rPr>
              <w:t>가격결정력이 있는 기업 (P를 올리는 국면)</w:t>
            </w:r>
          </w:p>
        </w:tc>
        <w:tc>
          <w:tcPr>
            <w:tcW w:type="dxa" w:w="4989"/>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현금·예금 (1~2% vs 물가 10%+)</w:t>
            </w:r>
          </w:p>
          <w:p>
            <w:pPr>
              <w:spacing w:before="0" w:after="20" w:line="269" w:lineRule="auto"/>
              <w:jc w:val="center"/>
            </w:pPr>
            <w:r>
              <w:rPr>
                <w:rFonts w:ascii="맑은 고딕" w:hAnsi="맑은 고딕" w:eastAsia="맑은 고딕"/>
                <w:b w:val="0"/>
                <w:i w:val="0"/>
                <w:color w:val="1A1A1A"/>
                <w:sz w:val="19"/>
              </w:rPr>
              <w:t>임금 근로자</w:t>
            </w:r>
          </w:p>
          <w:p>
            <w:pPr>
              <w:spacing w:before="0" w:after="0" w:line="269" w:lineRule="auto"/>
              <w:jc w:val="center"/>
            </w:pPr>
            <w:r>
              <w:rPr>
                <w:rFonts w:ascii="맑은 고딕" w:hAnsi="맑은 고딕" w:eastAsia="맑은 고딕"/>
                <w:b w:val="0"/>
                <w:i w:val="0"/>
                <w:color w:val="1A1A1A"/>
                <w:sz w:val="19"/>
              </w:rPr>
              <w:t>채권 투자자 · 대부분 개인</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이번 주에 쓰지 말 것</w:t>
            </w:r>
          </w:p>
          <w:p>
            <w:pPr>
              <w:spacing w:after="20" w:before="0" w:line="276" w:lineRule="auto"/>
            </w:pPr>
            <w:r>
              <w:rPr>
                <w:rFonts w:ascii="맑은 고딕" w:hAnsi="맑은 고딕" w:eastAsia="맑은 고딕"/>
                <w:b w:val="0"/>
                <w:i w:val="0"/>
                <w:color w:val="1A1A1A"/>
                <w:sz w:val="21"/>
              </w:rPr>
              <w:t>금융억압이 시작됐으니 실물을 사라.</w:t>
            </w:r>
          </w:p>
          <w:p>
            <w:pPr>
              <w:spacing w:after="20" w:before="0" w:line="276" w:lineRule="auto"/>
            </w:pPr>
            <w:r>
              <w:rPr>
                <w:rFonts w:ascii="맑은 고딕" w:hAnsi="맑은 고딕" w:eastAsia="맑은 고딕"/>
                <w:b w:val="0"/>
                <w:i w:val="0"/>
                <w:color w:val="1A1A1A"/>
                <w:sz w:val="21"/>
              </w:rPr>
              <w:t>베선트 풋이 QE이므로 위험자산을 사라.</w:t>
            </w:r>
          </w:p>
          <w:p>
            <w:pPr>
              <w:spacing w:after="20" w:before="0" w:line="276" w:lineRule="auto"/>
            </w:pPr>
            <w:r>
              <w:rPr>
                <w:rFonts w:ascii="맑은 고딕" w:hAnsi="맑은 고딕" w:eastAsia="맑은 고딕"/>
                <w:b w:val="0"/>
                <w:i w:val="0"/>
                <w:color w:val="1A1A1A"/>
                <w:sz w:val="21"/>
              </w:rPr>
              <w:t>이자는 국방을 넘었으니 달러는 끝났다.</w:t>
            </w:r>
          </w:p>
        </w:tc>
      </w:tr>
    </w:tbl>
    <w:p>
      <w:pPr>
        <w:spacing w:after="120"/>
      </w:pPr>
    </w:p>
    <w:p>
      <w:pPr>
        <w:spacing w:after="120" w:before="0" w:line="283" w:lineRule="auto"/>
        <w:jc w:val="left"/>
      </w:pPr>
      <w:r>
        <w:rPr>
          <w:rFonts w:ascii="맑은 고딕" w:hAnsi="맑은 고딕" w:eastAsia="맑은 고딕"/>
          <w:b w:val="0"/>
          <w:i w:val="0"/>
          <w:color w:val="1A1A1A"/>
          <w:sz w:val="22"/>
        </w:rPr>
        <w:t>억압이 맞다면 수년에 걸쳐 실질금리를 음수로 눌러 부채를 녹이는 과정이다. 그 과정에서 위험자산이 오를 수도 있고, 할인율 충격으로 먼저 빠질 수도 있다. 이번 주 분기(PCE·NVIDIA·Warsh·9/9)와 시계를 섞지 않는다.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VI.  </w:t>
      </w:r>
      <w:r>
        <w:rPr>
          <w:rFonts w:ascii="맑은 고딕" w:hAnsi="맑은 고딕" w:eastAsia="맑은 고딕"/>
          <w:b/>
          <w:i w:val="0"/>
          <w:color w:val="0F2043"/>
          <w:sz w:val="32"/>
        </w:rPr>
        <w:t>AI 전가 — 서버 15%, 구축, 광고, 모델 가격, 조달</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전가는 한 숫자가 아니라 다섯 층이다. 서버 가격, 데이터센터 구축, 광고, 모델 가격, 자본 조달.</w:t>
            </w:r>
          </w:p>
          <w:p>
            <w:pPr>
              <w:spacing w:after="20" w:before="0" w:line="276" w:lineRule="auto"/>
            </w:pPr>
            <w:r>
              <w:rPr>
                <w:rFonts w:ascii="맑은 고딕" w:hAnsi="맑은 고딕" w:eastAsia="맑은 고딕"/>
                <w:b w:val="0"/>
                <w:i w:val="0"/>
                <w:color w:val="1A1A1A"/>
                <w:sz w:val="21"/>
              </w:rPr>
              <w:t>15%는 GPU ASP가 아니다. 광고 노출률에는 분모를 붙인다. 조달의 큰 숫자는 확인과 방송을 나눈다.</w:t>
            </w:r>
          </w:p>
        </w:tc>
      </w:tr>
    </w:tbl>
    <w:p>
      <w:pPr>
        <w:spacing w:after="120"/>
      </w:pPr>
    </w:p>
    <w:p>
      <w:pPr>
        <w:spacing w:before="80" w:after="160" w:line="288" w:lineRule="auto"/>
        <w:jc w:val="center"/>
      </w:pPr>
      <w:r>
        <w:rPr>
          <w:rFonts w:ascii="맑은 고딕" w:hAnsi="맑은 고딕" w:eastAsia="맑은 고딕"/>
          <w:b/>
          <w:i w:val="0"/>
          <w:color w:val="0F2043"/>
          <w:sz w:val="22"/>
        </w:rPr>
        <w:t>메모리 BOM</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서버 시스템 가격</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DC 구축 원가</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토큰·모델 가격</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광고·조달</w:t>
      </w:r>
    </w:p>
    <w:p>
      <w:pPr>
        <w:spacing w:before="200" w:after="80"/>
      </w:pPr>
      <w:r>
        <w:rPr>
          <w:rFonts w:ascii="맑은 고딕" w:hAnsi="맑은 고딕" w:eastAsia="맑은 고딕"/>
          <w:b/>
          <w:i w:val="0"/>
          <w:color w:val="1E407C"/>
          <w:sz w:val="26"/>
        </w:rPr>
        <w:t>6-1. 서버 15% — GPU가 아니라 시스템</w:t>
      </w:r>
    </w:p>
    <w:tbl>
      <w:tblPr>
        <w:tblW w:type="auto" w:w="0"/>
        <w:jc w:val="center"/>
        <w:tblLayout w:type="autofit"/>
        <w:tblLook w:firstColumn="1" w:firstRow="1" w:lastColumn="0" w:lastRow="0" w:noHBand="0" w:noVBand="1" w:val="04A0"/>
      </w:tblPr>
      <w:tblGrid>
        <w:gridCol w:w="10092"/>
      </w:tblGrid>
      <w:tr>
        <w:tc>
          <w:tcPr>
            <w:tcW w:type="dxa" w:w="10092"/>
            <w:shd w:val="clear" w:color="auto" w:fill="E8F5E9"/>
            <w:tcBorders>
              <w:top w:val="nil"/>
              <w:left w:val="single" w:sz="28" w:space="0" w:color="166534"/>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66534"/>
                <w:sz w:val="20"/>
              </w:rPr>
              <w:t>게시용 문안</w:t>
            </w:r>
          </w:p>
          <w:p>
            <w:pPr>
              <w:spacing w:after="20" w:before="0" w:line="276" w:lineRule="auto"/>
            </w:pPr>
            <w:r>
              <w:rPr>
                <w:rFonts w:ascii="맑은 고딕" w:hAnsi="맑은 고딕" w:eastAsia="맑은 고딕"/>
                <w:b w:val="0"/>
                <w:i w:val="0"/>
                <w:color w:val="1A1A1A"/>
                <w:sz w:val="21"/>
              </w:rPr>
              <w:t>보도된 내용은 NVIDIA GPU 가격이 15% 오른다는 것이 아니다.</w:t>
            </w:r>
          </w:p>
          <w:p>
            <w:pPr>
              <w:spacing w:after="20" w:before="0" w:line="276" w:lineRule="auto"/>
            </w:pPr>
            <w:r>
              <w:rPr>
                <w:rFonts w:ascii="맑은 고딕" w:hAnsi="맑은 고딕" w:eastAsia="맑은 고딕"/>
                <w:b w:val="0"/>
                <w:i w:val="0"/>
                <w:color w:val="1A1A1A"/>
                <w:sz w:val="21"/>
              </w:rPr>
              <w:t>NVIDIA AI 칩을 탑재한 서버 시스템 가격이 메모리 비용 상승으로 많은 경우 15% 이상 오를 수 있다는 것이다.</w:t>
            </w:r>
          </w:p>
          <w:p>
            <w:pPr>
              <w:spacing w:after="20" w:before="0" w:line="276" w:lineRule="auto"/>
            </w:pPr>
            <w:r>
              <w:rPr>
                <w:rFonts w:ascii="맑은 고딕" w:hAnsi="맑은 고딕" w:eastAsia="맑은 고딕"/>
                <w:b w:val="0"/>
                <w:i w:val="0"/>
                <w:color w:val="1A1A1A"/>
                <w:sz w:val="21"/>
              </w:rPr>
              <w:t>Vera Rubin·Grace Blackwell 시스템이 포함될 수 있고, 인상률은 세대와 메모리 구성에 따라 다르다.</w:t>
            </w:r>
          </w:p>
          <w:p>
            <w:pPr>
              <w:spacing w:after="20" w:before="0" w:line="276" w:lineRule="auto"/>
            </w:pPr>
            <w:r>
              <w:rPr>
                <w:rFonts w:ascii="맑은 고딕" w:hAnsi="맑은 고딕" w:eastAsia="맑은 고딕"/>
                <w:b w:val="0"/>
                <w:i w:val="0"/>
                <w:color w:val="1A1A1A"/>
                <w:sz w:val="21"/>
              </w:rPr>
              <w:t>Bloomberg 인용이며 Reuters도 독립 검증하지 못했고, NVIDIA 공식 확인도 없었다.</w:t>
            </w:r>
          </w:p>
        </w:tc>
      </w:tr>
    </w:tbl>
    <w:p>
      <w:pPr>
        <w:spacing w:after="120"/>
      </w:pPr>
    </w:p>
    <w:p>
      <w:pPr>
        <w:spacing w:after="120" w:before="0" w:line="283" w:lineRule="auto"/>
        <w:jc w:val="left"/>
      </w:pPr>
      <w:r>
        <w:rPr>
          <w:rFonts w:ascii="맑은 고딕" w:hAnsi="맑은 고딕" w:eastAsia="맑은 고딕"/>
          <w:b w:val="0"/>
          <w:i w:val="0"/>
          <w:color w:val="1A1A1A"/>
          <w:sz w:val="22"/>
        </w:rPr>
        <w:t>서버업체가 고객에게 가격을 통보할 정도라면 메모리 공급사의 협상력은 확인된다. 다만 CAPEX가 고정되어 있다고 단순 가정하면 시스템 가격 15% 인상은 같은 예산의 서버 대수를 1/1.15 − 1 = −13.0%로 줄인다 [역산]. 약 13% 감소다. 실제로는 CSP가 예산을 증액할 수 있으므로 이것이 출하량 전망은 아니다. 메모리 가격전가 성공과 서버 대수는 따로 봐야 한다.</w:t>
      </w:r>
    </w:p>
    <w:p>
      <w:pPr>
        <w:spacing w:before="200" w:after="80"/>
      </w:pPr>
      <w:r>
        <w:rPr>
          <w:rFonts w:ascii="맑은 고딕" w:hAnsi="맑은 고딕" w:eastAsia="맑은 고딕"/>
          <w:b/>
          <w:i w:val="0"/>
          <w:color w:val="1E407C"/>
          <w:sz w:val="26"/>
        </w:rPr>
        <w:t>6-2. 구축 — 허가, 전력, 수익률</w:t>
      </w:r>
    </w:p>
    <w:p>
      <w:pPr>
        <w:spacing w:after="120" w:before="0" w:line="283" w:lineRule="auto"/>
        <w:jc w:val="left"/>
      </w:pPr>
      <w:r>
        <w:rPr>
          <w:rFonts w:ascii="맑은 고딕" w:hAnsi="맑은 고딕" w:eastAsia="맑은 고딕"/>
          <w:b w:val="0"/>
          <w:i w:val="0"/>
          <w:color w:val="1A1A1A"/>
          <w:sz w:val="22"/>
        </w:rPr>
        <w:t>데이터센터 구축 원가는 칩만이 아니다. 전력, 부지, 허가, 자금 비용이 같이 오른다. 출연자 발언으로 나온 DC 수익률과 PF 허가 1,000건 이상은 [방송]이다. 단독 근거로 쓰지 않는다. 확인할 것은 실제 가동률, take-or-pay, 전력 계약이다.</w:t>
      </w:r>
    </w:p>
    <w:p>
      <w:pPr>
        <w:spacing w:after="120" w:before="0" w:line="283" w:lineRule="auto"/>
        <w:jc w:val="left"/>
      </w:pPr>
      <w:r>
        <w:rPr>
          <w:rFonts w:ascii="맑은 고딕" w:hAnsi="맑은 고딕" w:eastAsia="맑은 고딕"/>
          <w:b w:val="0"/>
          <w:i w:val="0"/>
          <w:color w:val="1A1A1A"/>
          <w:sz w:val="22"/>
        </w:rPr>
        <w:t>앤트로픽 ARR 650억 달러 vs 기대 850억 달러도 [방송]이다. 매출이 기대를 밑돌면 구축 금융의 임대료와 SPV 현금흐름이 먼저 흔들린다. 8/21 레포트가 적은 브로드컴 SPV·프라이빗 크레딧과 같은 층이다.</w:t>
      </w:r>
    </w:p>
    <w:p>
      <w:pPr>
        <w:spacing w:before="200" w:after="80"/>
      </w:pPr>
      <w:r>
        <w:rPr>
          <w:rFonts w:ascii="맑은 고딕" w:hAnsi="맑은 고딕" w:eastAsia="맑은 고딕"/>
          <w:b/>
          <w:i w:val="0"/>
          <w:color w:val="1E407C"/>
          <w:sz w:val="26"/>
        </w:rPr>
        <w:t>6-3. 광고 — 분모를 붙인다</w:t>
      </w:r>
    </w:p>
    <w:tbl>
      <w:tblPr>
        <w:tblW w:type="auto" w:w="0"/>
        <w:jc w:val="center"/>
        <w:tblLayout w:type="autofit"/>
        <w:tblLook w:firstColumn="1" w:firstRow="1" w:lastColumn="0" w:lastRow="0" w:noHBand="0" w:noVBand="1" w:val="04A0"/>
      </w:tblPr>
      <w:tblGrid>
        <w:gridCol w:w="10092"/>
      </w:tblGrid>
      <w:tr>
        <w:tc>
          <w:tcPr>
            <w:tcW w:type="dxa" w:w="10092"/>
            <w:shd w:val="clear" w:color="auto" w:fill="E8F5E9"/>
            <w:tcBorders>
              <w:top w:val="nil"/>
              <w:left w:val="single" w:sz="28" w:space="0" w:color="166534"/>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66534"/>
                <w:sz w:val="20"/>
              </w:rPr>
              <w:t>게시용 문안</w:t>
            </w:r>
          </w:p>
          <w:p>
            <w:pPr>
              <w:spacing w:after="20" w:before="0" w:line="276" w:lineRule="auto"/>
            </w:pPr>
            <w:r>
              <w:rPr>
                <w:rFonts w:ascii="맑은 고딕" w:hAnsi="맑은 고딕" w:eastAsia="맑은 고딕"/>
                <w:b w:val="0"/>
                <w:i w:val="0"/>
                <w:color w:val="1A1A1A"/>
                <w:sz w:val="21"/>
              </w:rPr>
              <w:t>광고를 유발하도록 선별한 미국 상업성 키워드 표본에서 Google AI Mode 광고 노출률은 29.45%였다.</w:t>
            </w:r>
          </w:p>
          <w:p>
            <w:pPr>
              <w:spacing w:after="20" w:before="0" w:line="276" w:lineRule="auto"/>
            </w:pPr>
            <w:r>
              <w:rPr>
                <w:rFonts w:ascii="맑은 고딕" w:hAnsi="맑은 고딕" w:eastAsia="맑은 고딕"/>
                <w:b w:val="0"/>
                <w:i w:val="0"/>
                <w:color w:val="1A1A1A"/>
                <w:sz w:val="21"/>
              </w:rPr>
              <w:t>같은 계열의 미국 상업성 프롬프트, Free·Go 환경에서 ChatGPT 광고 노출률은 25.94%였다.</w:t>
            </w:r>
          </w:p>
          <w:p>
            <w:pPr>
              <w:spacing w:after="20" w:before="0" w:line="276" w:lineRule="auto"/>
            </w:pPr>
            <w:r>
              <w:rPr>
                <w:rFonts w:ascii="맑은 고딕" w:hAnsi="맑은 고딕" w:eastAsia="맑은 고딕"/>
                <w:b w:val="0"/>
                <w:i w:val="0"/>
                <w:color w:val="1A1A1A"/>
                <w:sz w:val="21"/>
              </w:rPr>
              <w:t>OpenAI의 $3~$5는 실제 CPC가 아니라 초기 CPC 캠페인의 권장 최대 CPC 입찰가다.</w:t>
            </w:r>
          </w:p>
        </w:tc>
      </w:tr>
    </w:tbl>
    <w:p>
      <w:pPr>
        <w:spacing w:after="120"/>
      </w:pP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숫자</w:t>
            </w:r>
          </w:p>
        </w:tc>
        <w:tc>
          <w:tcPr>
            <w:tcW w:type="dxa" w:w="476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분모</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Google AI Mode 노출률</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29.45%</w:t>
            </w:r>
          </w:p>
        </w:tc>
        <w:tc>
          <w:tcPr>
            <w:tcW w:type="dxa" w:w="476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미국 상업성 키워드 50,032개 · 2026-06-30</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광고가 나온 경우 2개</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71.1%</w:t>
            </w:r>
          </w:p>
        </w:tc>
        <w:tc>
          <w:tcPr>
            <w:tcW w:type="dxa" w:w="476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노출된 표본 안에서</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ChatGPT 노출률</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25.94%</w:t>
            </w:r>
          </w:p>
        </w:tc>
        <w:tc>
          <w:tcPr>
            <w:tcW w:type="dxa" w:w="476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미국 상업성 프롬프트 50,006개 · Free·Go · 2026-07-23</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광고주 도메인 미인용</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96.37%</w:t>
            </w:r>
          </w:p>
        </w:tc>
        <w:tc>
          <w:tcPr>
            <w:tcW w:type="dxa" w:w="476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광고와 출처의 실무 분리. 인과 증명 아님</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OpenAI $3~$5</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권장 최대 입찰가</w:t>
            </w:r>
          </w:p>
        </w:tc>
        <w:tc>
          <w:tcPr>
            <w:tcW w:type="dxa" w:w="476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실효 CPC는 더 낮을 수 있음</w:t>
            </w:r>
          </w:p>
        </w:tc>
      </w:tr>
    </w:tbl>
    <w:p>
      <w:pPr>
        <w:spacing w:after="160" w:before="40"/>
      </w:pPr>
    </w:p>
    <w:p>
      <w:pPr>
        <w:spacing w:after="120" w:before="0" w:line="283" w:lineRule="auto"/>
        <w:jc w:val="left"/>
      </w:pPr>
      <w:r>
        <w:rPr>
          <w:rFonts w:ascii="맑은 고딕" w:hAnsi="맑은 고딕" w:eastAsia="맑은 고딕"/>
          <w:b w:val="0"/>
          <w:i w:val="0"/>
          <w:color w:val="1A1A1A"/>
          <w:sz w:val="22"/>
        </w:rPr>
        <w:t>광고매출 ≈ 광고대상 이용량 × 상업성 질문 비중 × 광고 노출률 × CTR × 실효 CPC [역산 골격]. 여기서 답변 생성비용과 광고 영업·인프라 비용을 빼야 한다. 확인된 것은 광고 재고, 직접 구매, CPC 경매의 시작이다. 대규모 광고매출, 높은 전환율, 추론비용을 넘는 이익은 아직 미확인이다.</w:t>
      </w:r>
    </w:p>
    <w:p>
      <w:pPr>
        <w:spacing w:before="200" w:after="80"/>
      </w:pPr>
      <w:r>
        <w:rPr>
          <w:rFonts w:ascii="맑은 고딕" w:hAnsi="맑은 고딕" w:eastAsia="맑은 고딕"/>
          <w:b/>
          <w:i w:val="0"/>
          <w:color w:val="1E407C"/>
          <w:sz w:val="26"/>
        </w:rPr>
        <w:t>6-4. 모델 가격 — 토큰이 내려가야 전가가 닫힌다</w:t>
      </w:r>
    </w:p>
    <w:p>
      <w:pPr>
        <w:spacing w:after="120" w:before="0" w:line="283" w:lineRule="auto"/>
        <w:jc w:val="left"/>
      </w:pPr>
      <w:r>
        <w:rPr>
          <w:rFonts w:ascii="맑은 고딕" w:hAnsi="맑은 고딕" w:eastAsia="맑은 고딕"/>
          <w:b w:val="0"/>
          <w:i w:val="0"/>
          <w:color w:val="1A1A1A"/>
          <w:sz w:val="22"/>
        </w:rPr>
        <w:t>서버와 메모리가 오르면 토큰 원가는 올라간다. 모델 가격을 올리면 수요가 줄고, 내리면 적자가 커진다. 전가가 끝나는 지점은 토큰 가격이 원가를 따라가거나, 효율화가 원가를 꺾는 지점이다 [가정]. 제번스 역설(더 싸지면 더 쓴다)과 에이전트 확대는 한쪽이고, 반도체 효율화와 토큰 가격 하락은 다른 쪽이다.</w:t>
      </w:r>
    </w:p>
    <w:p>
      <w:pPr>
        <w:spacing w:before="200" w:after="80"/>
      </w:pPr>
      <w:r>
        <w:rPr>
          <w:rFonts w:ascii="맑은 고딕" w:hAnsi="맑은 고딕" w:eastAsia="맑은 고딕"/>
          <w:b/>
          <w:i w:val="0"/>
          <w:color w:val="1E407C"/>
          <w:sz w:val="26"/>
        </w:rPr>
        <w:t>6-5. 조달 — 확인과 방송을 나눈다</w:t>
      </w:r>
    </w:p>
    <w:p>
      <w:pPr>
        <w:spacing w:after="120" w:before="0" w:line="283" w:lineRule="auto"/>
        <w:jc w:val="left"/>
      </w:pPr>
      <w:r>
        <w:rPr>
          <w:rFonts w:ascii="맑은 고딕" w:hAnsi="맑은 고딕" w:eastAsia="맑은 고딕"/>
          <w:b w:val="0"/>
          <w:i w:val="0"/>
          <w:color w:val="1A1A1A"/>
          <w:sz w:val="22"/>
        </w:rPr>
        <w:t>소프트뱅크는 1조 엔(약 63억 달러) 개인 대상 무담보사채를 낸다. 7년, 예비 금리 연 4.30~4.90%, 가격결정은 9월 4일, 모집 9월 7~16일이다 [확인]. OpenAI 약정 600억 달러 이상은 [확인]이다. 추가 3,000억 달러, 누적 6,460억 달러, 13%, 3월 400억 달러 브리지는 [방송]이거나 부분 확인이다. 큰 숫자를 한 줄로 합치면 안 된다.</w:t>
      </w:r>
    </w:p>
    <w:p>
      <w:pPr>
        <w:spacing w:before="80" w:after="40"/>
        <w:jc w:val="center"/>
      </w:pPr>
      <w:r>
        <w:drawing>
          <wp:inline xmlns:a="http://schemas.openxmlformats.org/drawingml/2006/main" xmlns:pic="http://schemas.openxmlformats.org/drawingml/2006/picture">
            <wp:extent cx="5903999" cy="3560778"/>
            <wp:docPr id="12" name="Picture 12"/>
            <wp:cNvGraphicFramePr>
              <a:graphicFrameLocks noChangeAspect="1"/>
            </wp:cNvGraphicFramePr>
            <a:graphic>
              <a:graphicData uri="http://schemas.openxmlformats.org/drawingml/2006/picture">
                <pic:pic>
                  <pic:nvPicPr>
                    <pic:cNvPr id="0" name="20260825_pdf_fig07_capital.png"/>
                    <pic:cNvPicPr/>
                  </pic:nvPicPr>
                  <pic:blipFill>
                    <a:blip r:embed="rId22"/>
                    <a:stretch>
                      <a:fillRect/>
                    </a:stretch>
                  </pic:blipFill>
                  <pic:spPr>
                    <a:xfrm>
                      <a:off x="0" y="0"/>
                      <a:ext cx="5903999" cy="3560778"/>
                    </a:xfrm>
                    <a:prstGeom prst="rect"/>
                  </pic:spPr>
                </pic:pic>
              </a:graphicData>
            </a:graphic>
          </wp:inline>
        </w:drawing>
      </w:r>
    </w:p>
    <w:p>
      <w:pPr>
        <w:spacing w:before="0" w:after="200"/>
        <w:jc w:val="center"/>
      </w:pPr>
      <w:r>
        <w:rPr>
          <w:rFonts w:ascii="맑은 고딕" w:hAnsi="맑은 고딕" w:eastAsia="맑은 고딕"/>
          <w:b w:val="0"/>
          <w:i/>
          <w:color w:val="4B5563"/>
          <w:sz w:val="18"/>
        </w:rPr>
        <w:t>그림 6. 자본이 GPU 수요를 당기는 동안은 상방 레버리지, 최종수요가 안 나오면 역회전 [가정].</w:t>
      </w:r>
    </w:p>
    <w:p>
      <w:pPr>
        <w:spacing w:after="120" w:before="0" w:line="283" w:lineRule="auto"/>
        <w:jc w:val="left"/>
      </w:pPr>
      <w:r>
        <w:rPr>
          <w:rFonts w:ascii="맑은 고딕" w:hAnsi="맑은 고딕" w:eastAsia="맑은 고딕"/>
          <w:b w:val="0"/>
          <w:i w:val="0"/>
          <w:color w:val="1A1A1A"/>
          <w:sz w:val="22"/>
        </w:rPr>
        <w:t>조달이 이어지는 한 GPU·HBM·전력 수요는 앞당겨진다. 서비스 매출과 가동률이 기대를 밑돌면 차환 비용, 자산 가격, CAPEX가 같이 역회전할 수 있다 [가정]. NVIDIA의 애플리케이션 선점(Perplexity, Poolside 등)은 생태계 확장으로 읽되, 순환 금융의 반대편을 같이 적는다.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VII.  </w:t>
      </w:r>
      <w:r>
        <w:rPr>
          <w:rFonts w:ascii="맑은 고딕" w:hAnsi="맑은 고딕" w:eastAsia="맑은 고딕"/>
          <w:b/>
          <w:i w:val="0"/>
          <w:color w:val="0F2043"/>
          <w:sz w:val="32"/>
        </w:rPr>
        <w:t>한국 — 환원 1라운드, 7월 급락, 하반기, ABF</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7월은 펀더멘털 붕괴보다 쏠림 해소와 외국인 수급의 급락이었다.</w:t>
            </w:r>
          </w:p>
          <w:p>
            <w:pPr>
              <w:spacing w:after="20" w:before="0" w:line="276" w:lineRule="auto"/>
            </w:pPr>
            <w:r>
              <w:rPr>
                <w:rFonts w:ascii="맑은 고딕" w:hAnsi="맑은 고딕" w:eastAsia="맑은 고딕"/>
                <w:b w:val="0"/>
                <w:i w:val="0"/>
                <w:color w:val="1A1A1A"/>
                <w:sz w:val="21"/>
              </w:rPr>
              <w:t>8월 환원은 닉스가 먼저 사고 소각하고, 삼성은 배당을 먼저 확정한다.</w:t>
            </w:r>
          </w:p>
          <w:p>
            <w:pPr>
              <w:spacing w:after="20" w:before="0" w:line="276" w:lineRule="auto"/>
            </w:pPr>
            <w:r>
              <w:rPr>
                <w:rFonts w:ascii="맑은 고딕" w:hAnsi="맑은 고딕" w:eastAsia="맑은 고딕"/>
                <w:b w:val="0"/>
                <w:i w:val="0"/>
                <w:color w:val="1A1A1A"/>
                <w:sz w:val="21"/>
              </w:rPr>
              <w:t>ABF는 필름 절대부족이 아니라 고사양 기판의 수율·유효 CAPA다.</w:t>
            </w:r>
          </w:p>
        </w:tc>
      </w:tr>
    </w:tbl>
    <w:p>
      <w:pPr>
        <w:spacing w:after="120"/>
      </w:pPr>
    </w:p>
    <w:p>
      <w:pPr>
        <w:spacing w:before="80" w:after="40"/>
        <w:jc w:val="center"/>
      </w:pPr>
      <w:r>
        <w:drawing>
          <wp:inline xmlns:a="http://schemas.openxmlformats.org/drawingml/2006/main" xmlns:pic="http://schemas.openxmlformats.org/drawingml/2006/picture">
            <wp:extent cx="5903999" cy="2275315"/>
            <wp:docPr id="13" name="Picture 13"/>
            <wp:cNvGraphicFramePr>
              <a:graphicFrameLocks noChangeAspect="1"/>
            </wp:cNvGraphicFramePr>
            <a:graphic>
              <a:graphicData uri="http://schemas.openxmlformats.org/drawingml/2006/picture">
                <pic:pic>
                  <pic:nvPicPr>
                    <pic:cNvPr id="0" name="20260825_korea_return.png"/>
                    <pic:cNvPicPr/>
                  </pic:nvPicPr>
                  <pic:blipFill>
                    <a:blip r:embed="rId23"/>
                    <a:stretch>
                      <a:fillRect/>
                    </a:stretch>
                  </pic:blipFill>
                  <pic:spPr>
                    <a:xfrm>
                      <a:off x="0" y="0"/>
                      <a:ext cx="5903999" cy="2275315"/>
                    </a:xfrm>
                    <a:prstGeom prst="rect"/>
                  </pic:spPr>
                </pic:pic>
              </a:graphicData>
            </a:graphic>
          </wp:inline>
        </w:drawing>
      </w:r>
    </w:p>
    <w:p>
      <w:pPr>
        <w:spacing w:before="0" w:after="200"/>
        <w:jc w:val="center"/>
      </w:pPr>
      <w:r>
        <w:rPr>
          <w:rFonts w:ascii="맑은 고딕" w:hAnsi="맑은 고딕" w:eastAsia="맑은 고딕"/>
          <w:b w:val="0"/>
          <w:i/>
          <w:color w:val="4B5563"/>
          <w:sz w:val="18"/>
        </w:rPr>
        <w:t>그림 7. 상대 점수다. 절대 규모는 삼성이 더 크다.</w:t>
      </w:r>
    </w:p>
    <w:p>
      <w:pPr>
        <w:spacing w:before="80" w:after="40"/>
        <w:jc w:val="center"/>
      </w:pPr>
      <w:r>
        <w:drawing>
          <wp:inline xmlns:a="http://schemas.openxmlformats.org/drawingml/2006/main" xmlns:pic="http://schemas.openxmlformats.org/drawingml/2006/picture">
            <wp:extent cx="5903999" cy="3331419"/>
            <wp:docPr id="14" name="Picture 14"/>
            <wp:cNvGraphicFramePr>
              <a:graphicFrameLocks noChangeAspect="1"/>
            </wp:cNvGraphicFramePr>
            <a:graphic>
              <a:graphicData uri="http://schemas.openxmlformats.org/drawingml/2006/picture">
                <pic:pic>
                  <pic:nvPicPr>
                    <pic:cNvPr id="0" name="20260825_pdf_fig08_return.png"/>
                    <pic:cNvPicPr/>
                  </pic:nvPicPr>
                  <pic:blipFill>
                    <a:blip r:embed="rId24"/>
                    <a:stretch>
                      <a:fillRect/>
                    </a:stretch>
                  </pic:blipFill>
                  <pic:spPr>
                    <a:xfrm>
                      <a:off x="0" y="0"/>
                      <a:ext cx="5903999" cy="3331419"/>
                    </a:xfrm>
                    <a:prstGeom prst="rect"/>
                  </pic:spPr>
                </pic:pic>
              </a:graphicData>
            </a:graphic>
          </wp:inline>
        </w:drawing>
      </w:r>
    </w:p>
    <w:p>
      <w:pPr>
        <w:spacing w:before="0" w:after="200"/>
        <w:jc w:val="center"/>
      </w:pPr>
      <w:r>
        <w:rPr>
          <w:rFonts w:ascii="맑은 고딕" w:hAnsi="맑은 고딕" w:eastAsia="맑은 고딕"/>
          <w:b w:val="0"/>
          <w:i/>
          <w:color w:val="4B5563"/>
          <w:sz w:val="18"/>
        </w:rPr>
        <w:t>그림 7-2. 90~110조에 30조 배당이 포함될 수 있어 단순 합산하면 안 된다.</w:t>
      </w:r>
    </w:p>
    <w:p>
      <w:pPr>
        <w:spacing w:before="200" w:after="80"/>
      </w:pPr>
      <w:r>
        <w:rPr>
          <w:rFonts w:ascii="맑은 고딕" w:hAnsi="맑은 고딕" w:eastAsia="맑은 고딕"/>
          <w:b/>
          <w:i w:val="0"/>
          <w:color w:val="1E407C"/>
          <w:sz w:val="26"/>
        </w:rPr>
        <w:t>7-1. 환원 — 닉스가 먼저 산다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70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413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SK하이닉스</w:t>
            </w:r>
          </w:p>
        </w:tc>
        <w:tc>
          <w:tcPr>
            <w:tcW w:type="dxa" w:w="413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삼성전자</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확정 집행</w:t>
            </w:r>
          </w:p>
        </w:tc>
        <w:tc>
          <w:tcPr>
            <w:tcW w:type="dxa" w:w="4139"/>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40조 자사주 매입 후 전량 소각 [확인]</w:t>
            </w:r>
          </w:p>
          <w:p>
            <w:pPr>
              <w:spacing w:before="0" w:after="0" w:line="269" w:lineRule="auto"/>
              <w:jc w:val="center"/>
            </w:pPr>
            <w:r>
              <w:rPr>
                <w:rFonts w:ascii="맑은 고딕" w:hAnsi="맑은 고딕" w:eastAsia="맑은 고딕"/>
                <w:b w:val="0"/>
                <w:i w:val="0"/>
                <w:color w:val="1A1A1A"/>
                <w:sz w:val="19"/>
              </w:rPr>
              <w:t>8/20~11/19, 약 2,407만 주</w:t>
            </w:r>
          </w:p>
        </w:tc>
        <w:tc>
          <w:tcPr>
            <w:tcW w:type="dxa" w:w="4139"/>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2026년 환원 90~110조 [확인]</w:t>
            </w:r>
          </w:p>
          <w:p>
            <w:pPr>
              <w:spacing w:before="0" w:after="0" w:line="269" w:lineRule="auto"/>
              <w:jc w:val="center"/>
            </w:pPr>
            <w:r>
              <w:rPr>
                <w:rFonts w:ascii="맑은 고딕" w:hAnsi="맑은 고딕" w:eastAsia="맑은 고딕"/>
                <w:b w:val="0"/>
                <w:i w:val="0"/>
                <w:color w:val="1A1A1A"/>
                <w:sz w:val="19"/>
              </w:rPr>
              <w:t>3년 누적 120~140조</w:t>
            </w:r>
          </w:p>
        </w:tc>
      </w:tr>
      <w:tr>
        <w:trPr>
          <w:cantSplit/>
        </w:trPr>
        <w:tc>
          <w:tcPr>
            <w:tcW w:type="dxa" w:w="170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속도</w:t>
            </w:r>
          </w:p>
        </w:tc>
        <w:tc>
          <w:tcPr>
            <w:tcW w:type="dxa" w:w="4139"/>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장중 매입. 첫날 일 ~65만 주 [방송]</w:t>
            </w:r>
          </w:p>
          <w:p>
            <w:pPr>
              <w:spacing w:before="0" w:after="0" w:line="269" w:lineRule="auto"/>
              <w:jc w:val="center"/>
            </w:pPr>
            <w:r>
              <w:rPr>
                <w:rFonts w:ascii="맑은 고딕" w:hAnsi="맑은 고딕" w:eastAsia="맑은 고딕"/>
                <w:b w:val="0"/>
                <w:i w:val="0"/>
                <w:color w:val="1A1A1A"/>
                <w:sz w:val="19"/>
              </w:rPr>
              <w:t>이 속도면 10월 중순 종료 [방송]</w:t>
            </w:r>
          </w:p>
        </w:tc>
        <w:tc>
          <w:tcPr>
            <w:tcW w:type="dxa" w:w="4139"/>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3Q 현금배당 ~30조, 10월 이사회 [확인]</w:t>
            </w:r>
          </w:p>
          <w:p>
            <w:pPr>
              <w:spacing w:before="0" w:after="0" w:line="269" w:lineRule="auto"/>
              <w:jc w:val="center"/>
            </w:pPr>
            <w:r>
              <w:rPr>
                <w:rFonts w:ascii="맑은 고딕" w:hAnsi="맑은 고딕" w:eastAsia="맑은 고딕"/>
                <w:b w:val="0"/>
                <w:i w:val="0"/>
                <w:color w:val="1A1A1A"/>
                <w:sz w:val="19"/>
              </w:rPr>
              <w:t>잔여 60~80조는 2027년 1월 [확인]</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소각</w:t>
            </w:r>
          </w:p>
        </w:tc>
        <w:tc>
          <w:tcPr>
            <w:tcW w:type="dxa" w:w="413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전량 소각 확정. EPS·지분 효과 직접</w:t>
            </w:r>
          </w:p>
        </w:tc>
        <w:tc>
          <w:tcPr>
            <w:tcW w:type="dxa" w:w="4139"/>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잔여분의 매입·소각은 미정</w:t>
            </w:r>
          </w:p>
          <w:p>
            <w:pPr>
              <w:spacing w:before="0" w:after="0" w:line="269" w:lineRule="auto"/>
              <w:jc w:val="center"/>
            </w:pPr>
            <w:r>
              <w:rPr>
                <w:rFonts w:ascii="맑은 고딕" w:hAnsi="맑은 고딕" w:eastAsia="맑은 고딕"/>
                <w:b w:val="0"/>
                <w:i w:val="0"/>
                <w:color w:val="1A1A1A"/>
                <w:sz w:val="19"/>
              </w:rPr>
              <w:t>임직원 15조는 별도·소각 아님 [확인]</w:t>
            </w:r>
          </w:p>
        </w:tc>
      </w:tr>
      <w:tr>
        <w:trPr>
          <w:cantSplit/>
        </w:trPr>
        <w:tc>
          <w:tcPr>
            <w:tcW w:type="dxa" w:w="170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제약</w:t>
            </w:r>
          </w:p>
        </w:tc>
        <w:tc>
          <w:tcPr>
            <w:tcW w:type="dxa" w:w="413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ADR 희석을 되돌리는 성격</w:t>
            </w:r>
          </w:p>
        </w:tc>
        <w:tc>
          <w:tcPr>
            <w:tcW w:type="dxa" w:w="413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금산법 10%가 소각을 제약 [확인/방송]</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정책</w:t>
            </w:r>
          </w:p>
        </w:tc>
        <w:tc>
          <w:tcPr>
            <w:tcW w:type="dxa" w:w="4139"/>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2025~27 FCF 50% 이상 [확인]</w:t>
            </w:r>
          </w:p>
          <w:p>
            <w:pPr>
              <w:spacing w:before="0" w:after="0" w:line="269" w:lineRule="auto"/>
              <w:jc w:val="center"/>
            </w:pPr>
            <w:r>
              <w:rPr>
                <w:rFonts w:ascii="맑은 고딕" w:hAnsi="맑은 고딕" w:eastAsia="맑은 고딕"/>
                <w:b w:val="0"/>
                <w:i w:val="0"/>
                <w:color w:val="1A1A1A"/>
                <w:sz w:val="19"/>
              </w:rPr>
              <w:t>추가분은 3Q 실적 발표</w:t>
            </w:r>
          </w:p>
        </w:tc>
        <w:tc>
          <w:tcPr>
            <w:tcW w:type="dxa" w:w="413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조정 FCF 50%. LTA 선수금·성과급 차감</w:t>
            </w:r>
          </w:p>
        </w:tc>
      </w:tr>
    </w:tbl>
    <w:p>
      <w:pPr>
        <w:spacing w:after="160" w:before="40"/>
      </w:pPr>
    </w:p>
    <w:p>
      <w:pPr>
        <w:spacing w:after="120" w:before="0" w:line="283" w:lineRule="auto"/>
        <w:jc w:val="left"/>
      </w:pPr>
      <w:r>
        <w:rPr>
          <w:rFonts w:ascii="맑은 고딕" w:hAnsi="맑은 고딕" w:eastAsia="맑은 고딕"/>
          <w:b w:val="0"/>
          <w:i w:val="0"/>
          <w:color w:val="1A1A1A"/>
          <w:sz w:val="22"/>
        </w:rPr>
        <w:t>Needham은 SK하이닉스 ADR 목표주가를 $200에서 $220으로 올렸다 [확인]. 근거는 자사주 소각과 환원이다. 목표주가는 증권사 가정이므로 그대로 투자 근거가 되지 않는다. 삼성의 90~110조는 3분기 배당을 포함한 연간 환원이다. 30조와 100조를 더하면 안 된다.</w:t>
      </w:r>
    </w:p>
    <w:p>
      <w:pPr>
        <w:spacing w:after="120" w:before="0" w:line="283" w:lineRule="auto"/>
        <w:jc w:val="left"/>
      </w:pPr>
      <w:r>
        <w:rPr>
          <w:rFonts w:ascii="맑은 고딕" w:hAnsi="맑은 고딕" w:eastAsia="맑은 고딕"/>
          <w:b w:val="0"/>
          <w:i w:val="0"/>
          <w:color w:val="1A1A1A"/>
          <w:sz w:val="22"/>
        </w:rPr>
        <w:t>금산법 10%는 삼성생명이 보유한 삼성전자 지분이 소각 후 한도에 걸리는 제약으로 읽힌다 [확인/방송]. 그래서 삼성은 즉시 전량소각보다 배당을 앞에 두고, 잔여 방식을 내년 1월로 미룬다. 1라운드 수급만 보면 닉스가 우위다. 절대 현금 규모만 보면 삼성이 더 크다. 둘을 섞지 않는다.</w:t>
      </w:r>
    </w:p>
    <w:p>
      <w:pPr>
        <w:spacing w:before="200" w:after="80"/>
      </w:pPr>
      <w:r>
        <w:rPr>
          <w:rFonts w:ascii="맑은 고딕" w:hAnsi="맑은 고딕" w:eastAsia="맑은 고딕"/>
          <w:b/>
          <w:i w:val="0"/>
          <w:color w:val="1E407C"/>
          <w:sz w:val="26"/>
        </w:rPr>
        <w:t>7-2. 7월 급락 — 펀더멘털보다 수급</w:t>
      </w:r>
    </w:p>
    <w:p>
      <w:pPr>
        <w:spacing w:after="120" w:before="0" w:line="283" w:lineRule="auto"/>
        <w:jc w:val="left"/>
      </w:pPr>
      <w:r>
        <w:rPr>
          <w:rFonts w:ascii="맑은 고딕" w:hAnsi="맑은 고딕" w:eastAsia="맑은 고딕"/>
          <w:b w:val="0"/>
          <w:i w:val="0"/>
          <w:color w:val="1A1A1A"/>
          <w:sz w:val="22"/>
        </w:rPr>
        <w:t>헤럴드경제 정리에 따르면 코스피는 6월 말 8,476.48에서 7월 28일 6,023.66으로 월간 약 −28.9% 하락했다 [확인]. 7월 22일 종가 고점 9,114.55 대비로는 약 −33.9%다 [확인]. 외국인은 그 기간 유가증권·코스닥에서 약 17.9조 원을 순매도했다 [확인]. 7월 28~29일 서킷브레이커가 이어졌다. 7월 31일에는 외국인 매수로 급반등한 세션이 있었다.</w:t>
      </w:r>
    </w:p>
    <w:p>
      <w:pPr>
        <w:spacing w:after="120" w:before="0" w:line="283" w:lineRule="auto"/>
        <w:jc w:val="left"/>
      </w:pPr>
      <w:r>
        <w:rPr>
          <w:rFonts w:ascii="맑은 고딕" w:hAnsi="맑은 고딕" w:eastAsia="맑은 고딕"/>
          <w:b w:val="0"/>
          <w:i w:val="0"/>
          <w:color w:val="1A1A1A"/>
          <w:sz w:val="22"/>
        </w:rPr>
        <w:t>KB증권 등은 7월 급락을 강세장 붕괴보다 과도한 쏠림 해소와 심리 위축으로 읽었다. 빅테크 고객의 메모리·AI 기판 수요 충족률 60~70%, 미충족 수요의 2028년 이월은 증권사 가정이다 [가정]. 급락의 교훈은 ‘업황이 좋으면 주가가 안 빠진다’가 틀렸다는 것이다. 수급과 할인율이 먼저 움직인다.</w:t>
      </w:r>
    </w:p>
    <w:p>
      <w:pPr>
        <w:spacing w:before="200" w:after="80"/>
      </w:pPr>
      <w:r>
        <w:rPr>
          <w:rFonts w:ascii="맑은 고딕" w:hAnsi="맑은 고딕" w:eastAsia="맑은 고딕"/>
          <w:b/>
          <w:i w:val="0"/>
          <w:color w:val="1E407C"/>
          <w:sz w:val="26"/>
        </w:rPr>
        <w:t>7-3. 하반기 — 환원 소화와 실적 창</w:t>
      </w:r>
    </w:p>
    <w:p>
      <w:pPr>
        <w:spacing w:after="120" w:before="0" w:line="283" w:lineRule="auto"/>
        <w:jc w:val="left"/>
      </w:pPr>
      <w:r>
        <w:rPr>
          <w:rFonts w:ascii="맑은 고딕" w:hAnsi="맑은 고딕" w:eastAsia="맑은 고딕"/>
          <w:b w:val="0"/>
          <w:i w:val="0"/>
          <w:color w:val="1A1A1A"/>
          <w:sz w:val="22"/>
        </w:rPr>
        <w:t>하반기를 한 줄로 쓰면 이렇다.</w:t>
      </w:r>
    </w:p>
    <w:p>
      <w:pPr>
        <w:spacing w:before="80" w:after="160" w:line="288" w:lineRule="auto"/>
        <w:jc w:val="center"/>
      </w:pPr>
      <w:r>
        <w:rPr>
          <w:rFonts w:ascii="맑은 고딕" w:hAnsi="맑은 고딕" w:eastAsia="맑은 고딕"/>
          <w:b/>
          <w:i w:val="0"/>
          <w:color w:val="0F2043"/>
          <w:sz w:val="20"/>
        </w:rPr>
        <w:t>8월 환원 발표</w:t>
      </w:r>
      <w:r>
        <w:rPr>
          <w:rFonts w:ascii="맑은 고딕" w:hAnsi="맑은 고딕" w:eastAsia="맑은 고딕"/>
          <w:b/>
          <w:i w:val="0"/>
          <w:color w:val="B8943A"/>
          <w:sz w:val="20"/>
        </w:rPr>
        <w:t xml:space="preserve">   →   </w:t>
      </w:r>
      <w:r>
        <w:rPr>
          <w:rFonts w:ascii="맑은 고딕" w:hAnsi="맑은 고딕" w:eastAsia="맑은 고딕"/>
          <w:b/>
          <w:i w:val="0"/>
          <w:color w:val="0F2043"/>
          <w:sz w:val="20"/>
        </w:rPr>
        <w:t>9월 바이백·실적 소화</w:t>
      </w:r>
      <w:r>
        <w:rPr>
          <w:rFonts w:ascii="맑은 고딕" w:hAnsi="맑은 고딕" w:eastAsia="맑은 고딕"/>
          <w:b/>
          <w:i w:val="0"/>
          <w:color w:val="B8943A"/>
          <w:sz w:val="20"/>
        </w:rPr>
        <w:t xml:space="preserve">   →   </w:t>
      </w:r>
      <w:r>
        <w:rPr>
          <w:rFonts w:ascii="맑은 고딕" w:hAnsi="맑은 고딕" w:eastAsia="맑은 고딕"/>
          <w:b/>
          <w:i w:val="0"/>
          <w:color w:val="0F2043"/>
          <w:sz w:val="20"/>
        </w:rPr>
        <w:t>10월 삼성 배당 확정</w:t>
      </w:r>
      <w:r>
        <w:rPr>
          <w:rFonts w:ascii="맑은 고딕" w:hAnsi="맑은 고딕" w:eastAsia="맑은 고딕"/>
          <w:b/>
          <w:i w:val="0"/>
          <w:color w:val="B8943A"/>
          <w:sz w:val="20"/>
        </w:rPr>
        <w:t xml:space="preserve">   →   </w:t>
      </w:r>
      <w:r>
        <w:rPr>
          <w:rFonts w:ascii="맑은 고딕" w:hAnsi="맑은 고딕" w:eastAsia="맑은 고딕"/>
          <w:b/>
          <w:i w:val="0"/>
          <w:color w:val="0F2043"/>
          <w:sz w:val="20"/>
        </w:rPr>
        <w:t>11월 닉스 매입 종료</w:t>
      </w:r>
      <w:r>
        <w:rPr>
          <w:rFonts w:ascii="맑은 고딕" w:hAnsi="맑은 고딕" w:eastAsia="맑은 고딕"/>
          <w:b/>
          <w:i w:val="0"/>
          <w:color w:val="B8943A"/>
          <w:sz w:val="20"/>
        </w:rPr>
        <w:t xml:space="preserve">   →   </w:t>
      </w:r>
      <w:r>
        <w:rPr>
          <w:rFonts w:ascii="맑은 고딕" w:hAnsi="맑은 고딕" w:eastAsia="맑은 고딕"/>
          <w:b/>
          <w:i w:val="0"/>
          <w:color w:val="0F2043"/>
          <w:sz w:val="20"/>
        </w:rPr>
        <w:t>1월 삼성 잔여 환원</w:t>
      </w:r>
    </w:p>
    <w:p>
      <w:pPr>
        <w:spacing w:after="120" w:before="0" w:line="283" w:lineRule="auto"/>
        <w:jc w:val="left"/>
      </w:pPr>
      <w:r>
        <w:rPr>
          <w:rFonts w:ascii="맑은 고딕" w:hAnsi="맑은 고딕" w:eastAsia="맑은 고딕"/>
          <w:b w:val="0"/>
          <w:i w:val="0"/>
          <w:color w:val="1A1A1A"/>
          <w:sz w:val="22"/>
        </w:rPr>
        <w:t>코스피 7,000 안착과 7,200(20주선)은 기본 [가정]이다. 6,000 지지는 최악 [가정]이다. 하반기 본선은 메모리 가격과 수출이 아니라, 환원이 실제 호가를 만드는지와 NVIDIA 가이드가 수요를 재확인하는지다.</w:t>
      </w:r>
    </w:p>
    <w:p>
      <w:pPr>
        <w:spacing w:before="200" w:after="80"/>
      </w:pPr>
      <w:r>
        <w:rPr>
          <w:rFonts w:ascii="맑은 고딕" w:hAnsi="맑은 고딕" w:eastAsia="맑은 고딕"/>
          <w:b/>
          <w:i w:val="0"/>
          <w:color w:val="1E407C"/>
          <w:sz w:val="26"/>
        </w:rPr>
        <w:t>7-4. ABF — 필름이 아니라 수율</w:t>
      </w:r>
    </w:p>
    <w:p>
      <w:pPr>
        <w:spacing w:after="120" w:before="0" w:line="283" w:lineRule="auto"/>
        <w:jc w:val="left"/>
      </w:pPr>
      <w:r>
        <w:rPr>
          <w:rFonts w:ascii="맑은 고딕" w:hAnsi="맑은 고딕" w:eastAsia="맑은 고딕"/>
          <w:b w:val="0"/>
          <w:i w:val="0"/>
          <w:color w:val="1A1A1A"/>
          <w:sz w:val="22"/>
        </w:rPr>
        <w:t>메리츠증권(2026-08-24)은 메모리 다음 병목으로 고사양 ABF 기판을 적었다 [확인]. 차세대 AI 가속기 면적이 2026년 제품 대비 약 3~5배로 커질 수 있고, 시스템 수요가 예상의 절반이어도 면적 수요는 1.5~2배가 될 수 있다는 분석이다 [가정]. 다만 일부에서는 ABF 필름 자체 공급은 중장기 수요를 맞출 수 있다고 본다. 병목은 원재료가 아니라 다층·미세피치·수율이다.</w:t>
      </w:r>
    </w:p>
    <w:p>
      <w:pPr>
        <w:spacing w:before="80" w:after="40"/>
        <w:jc w:val="center"/>
      </w:pPr>
      <w:r>
        <w:drawing>
          <wp:inline xmlns:a="http://schemas.openxmlformats.org/drawingml/2006/main" xmlns:pic="http://schemas.openxmlformats.org/drawingml/2006/picture">
            <wp:extent cx="5903999" cy="3432023"/>
            <wp:docPr id="15" name="Picture 15"/>
            <wp:cNvGraphicFramePr>
              <a:graphicFrameLocks noChangeAspect="1"/>
            </wp:cNvGraphicFramePr>
            <a:graphic>
              <a:graphicData uri="http://schemas.openxmlformats.org/drawingml/2006/picture">
                <pic:pic>
                  <pic:nvPicPr>
                    <pic:cNvPr id="0" name="20260825_pdf_fig09_abf.png"/>
                    <pic:cNvPicPr/>
                  </pic:nvPicPr>
                  <pic:blipFill>
                    <a:blip r:embed="rId25"/>
                    <a:stretch>
                      <a:fillRect/>
                    </a:stretch>
                  </pic:blipFill>
                  <pic:spPr>
                    <a:xfrm>
                      <a:off x="0" y="0"/>
                      <a:ext cx="5903999" cy="3432023"/>
                    </a:xfrm>
                    <a:prstGeom prst="rect"/>
                  </pic:spPr>
                </pic:pic>
              </a:graphicData>
            </a:graphic>
          </wp:inline>
        </w:drawing>
      </w:r>
    </w:p>
    <w:p>
      <w:pPr>
        <w:spacing w:before="0" w:after="200"/>
        <w:jc w:val="center"/>
      </w:pPr>
      <w:r>
        <w:rPr>
          <w:rFonts w:ascii="맑은 고딕" w:hAnsi="맑은 고딕" w:eastAsia="맑은 고딕"/>
          <w:b w:val="0"/>
          <w:i/>
          <w:color w:val="4B5563"/>
          <w:sz w:val="18"/>
        </w:rPr>
        <w:t>그림 8. ABF는 절대부족 서사로 고밸류를 정당화하면 안 된다.</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ABF를 쓰는 법</w:t>
            </w:r>
          </w:p>
          <w:p>
            <w:pPr>
              <w:spacing w:after="20" w:before="0" w:line="276" w:lineRule="auto"/>
            </w:pPr>
            <w:r>
              <w:rPr>
                <w:rFonts w:ascii="맑은 고딕" w:hAnsi="맑은 고딕" w:eastAsia="맑은 고딕"/>
                <w:b w:val="0"/>
                <w:i w:val="0"/>
                <w:color w:val="1A1A1A"/>
                <w:sz w:val="21"/>
              </w:rPr>
              <w:t>고사양 기판의 고객 인증, 가동률, 수율, ASP, 현금흐름 전환을 본다.</w:t>
            </w:r>
          </w:p>
          <w:p>
            <w:pPr>
              <w:spacing w:after="20" w:before="0" w:line="276" w:lineRule="auto"/>
            </w:pPr>
            <w:r>
              <w:rPr>
                <w:rFonts w:ascii="맑은 고딕" w:hAnsi="맑은 고딕" w:eastAsia="맑은 고딕"/>
                <w:b w:val="0"/>
                <w:i w:val="0"/>
                <w:color w:val="1A1A1A"/>
                <w:sz w:val="21"/>
              </w:rPr>
              <w:t>삼성전기 증설은 방향이지 즉시 실적이 아니다.</w:t>
            </w:r>
          </w:p>
          <w:p>
            <w:pPr>
              <w:spacing w:after="20" w:before="0" w:line="276" w:lineRule="auto"/>
            </w:pPr>
            <w:r>
              <w:rPr>
                <w:rFonts w:ascii="맑은 고딕" w:hAnsi="맑은 고딕" w:eastAsia="맑은 고딕"/>
                <w:b w:val="0"/>
                <w:i w:val="0"/>
                <w:color w:val="1A1A1A"/>
                <w:sz w:val="21"/>
              </w:rPr>
              <w:t>절대부족 한 줄로 목표주가를 정당화하지 않는다.</w:t>
            </w:r>
          </w:p>
        </w:tc>
      </w:tr>
    </w:tbl>
    <w:p>
      <w:pPr>
        <w:spacing w:after="120"/>
      </w:pPr>
    </w:p>
    <w:p>
      <w:pPr>
        <w:spacing w:before="200" w:after="80"/>
      </w:pPr>
      <w:r>
        <w:rPr>
          <w:rFonts w:ascii="맑은 고딕" w:hAnsi="맑은 고딕" w:eastAsia="맑은 고딕"/>
          <w:b/>
          <w:i w:val="0"/>
          <w:color w:val="1E407C"/>
          <w:sz w:val="26"/>
        </w:rPr>
        <w:t>7-5. 네오클라우드 후보 점검 [PDF]</w:t>
      </w:r>
    </w:p>
    <w:p>
      <w:pPr>
        <w:spacing w:after="120" w:before="0" w:line="283" w:lineRule="auto"/>
        <w:jc w:val="left"/>
      </w:pPr>
      <w:r>
        <w:rPr>
          <w:rFonts w:ascii="맑은 고딕" w:hAnsi="맑은 고딕" w:eastAsia="맑은 고딕"/>
          <w:b w:val="0"/>
          <w:i w:val="0"/>
          <w:color w:val="1A1A1A"/>
          <w:sz w:val="22"/>
        </w:rPr>
        <w:t>SK텔레콤과 NAVER는 국내 AI 클라우드 후보군으로 볼 수 있다. 발표된 생산능력과 실제 가동 생산능력, GPU 이용률, 외부 고객 매출, CAPEX 대비 EBITDA·FCF를 확인해야 한다.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317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확인 지표</w:t>
            </w:r>
          </w:p>
        </w:tc>
        <w:tc>
          <w:tcPr>
            <w:tcW w:type="dxa" w:w="680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이유</w:t>
            </w:r>
          </w:p>
        </w:tc>
      </w:tr>
      <w:tr>
        <w:trPr>
          <w:cantSplit/>
        </w:trPr>
        <w:tc>
          <w:tcPr>
            <w:tcW w:type="dxa" w:w="317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GPU·AI 서버 실제 보유량</w:t>
            </w:r>
          </w:p>
        </w:tc>
        <w:tc>
          <w:tcPr>
            <w:tcW w:type="dxa" w:w="680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발표 CAPA와 가동 CAPA를 나눈다</w:t>
            </w:r>
          </w:p>
        </w:tc>
      </w:tr>
      <w:tr>
        <w:trPr>
          <w:cantSplit/>
        </w:trPr>
        <w:tc>
          <w:tcPr>
            <w:tcW w:type="dxa" w:w="317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전력 확보</w:t>
            </w:r>
          </w:p>
        </w:tc>
        <w:tc>
          <w:tcPr>
            <w:tcW w:type="dxa" w:w="680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 클라우드의 물리적 병목</w:t>
            </w:r>
          </w:p>
        </w:tc>
      </w:tr>
      <w:tr>
        <w:trPr>
          <w:cantSplit/>
        </w:trPr>
        <w:tc>
          <w:tcPr>
            <w:tcW w:type="dxa" w:w="317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GPU 이용률</w:t>
            </w:r>
          </w:p>
        </w:tc>
        <w:tc>
          <w:tcPr>
            <w:tcW w:type="dxa" w:w="680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매출보다 자산 효율</w:t>
            </w:r>
          </w:p>
        </w:tc>
      </w:tr>
      <w:tr>
        <w:trPr>
          <w:cantSplit/>
        </w:trPr>
        <w:tc>
          <w:tcPr>
            <w:tcW w:type="dxa" w:w="317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외부 기업고객 매출</w:t>
            </w:r>
          </w:p>
        </w:tc>
        <w:tc>
          <w:tcPr>
            <w:tcW w:type="dxa" w:w="680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내부·관계사 사용과 구분</w:t>
            </w:r>
          </w:p>
        </w:tc>
      </w:tr>
      <w:tr>
        <w:trPr>
          <w:cantSplit/>
        </w:trPr>
        <w:tc>
          <w:tcPr>
            <w:tcW w:type="dxa" w:w="317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가격과 계약기간</w:t>
            </w:r>
          </w:p>
        </w:tc>
        <w:tc>
          <w:tcPr>
            <w:tcW w:type="dxa" w:w="680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저가 임대 경쟁 여부</w:t>
            </w:r>
          </w:p>
        </w:tc>
      </w:tr>
      <w:tr>
        <w:trPr>
          <w:cantSplit/>
        </w:trPr>
        <w:tc>
          <w:tcPr>
            <w:tcW w:type="dxa" w:w="317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CAPEX 대비 EBITDA·FCF</w:t>
            </w:r>
          </w:p>
        </w:tc>
        <w:tc>
          <w:tcPr>
            <w:tcW w:type="dxa" w:w="680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현금창출 자산인지</w:t>
            </w:r>
          </w:p>
        </w:tc>
      </w:tr>
    </w:tbl>
    <w:p>
      <w:pPr>
        <w:spacing w:after="160" w:before="40"/>
      </w:pPr>
    </w:p>
    <w:p>
      <w:pPr>
        <w:spacing w:before="200" w:after="80"/>
      </w:pPr>
      <w:r>
        <w:rPr>
          <w:rFonts w:ascii="맑은 고딕" w:hAnsi="맑은 고딕" w:eastAsia="맑은 고딕"/>
          <w:b/>
          <w:i w:val="0"/>
          <w:color w:val="1E407C"/>
          <w:sz w:val="26"/>
        </w:rPr>
        <w:t>7-6. 한국 반도체 최종 비교 [PDF]</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498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기준</w:t>
            </w:r>
          </w:p>
        </w:tc>
        <w:tc>
          <w:tcPr>
            <w:tcW w:type="dxa" w:w="498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우위</w:t>
            </w:r>
          </w:p>
        </w:tc>
      </w:tr>
      <w:tr>
        <w:trPr>
          <w:cantSplit/>
        </w:trPr>
        <w:tc>
          <w:tcPr>
            <w:tcW w:type="dxa" w:w="498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단기 수급과 주당효과</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SK하이닉스</w:t>
            </w:r>
          </w:p>
        </w:tc>
      </w:tr>
      <w:tr>
        <w:trPr>
          <w:cantSplit/>
        </w:trPr>
        <w:tc>
          <w:tcPr>
            <w:tcW w:type="dxa" w:w="498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명목 환원 규모와 추가 선택권</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삼성전자</w:t>
            </w:r>
          </w:p>
        </w:tc>
      </w:tr>
      <w:tr>
        <w:trPr>
          <w:cantSplit/>
        </w:trPr>
        <w:tc>
          <w:tcPr>
            <w:tcW w:type="dxa" w:w="498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AI 실물수요 민감도</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SK하이닉스</w:t>
            </w:r>
          </w:p>
        </w:tc>
      </w:tr>
      <w:tr>
        <w:trPr>
          <w:cantSplit/>
        </w:trPr>
        <w:tc>
          <w:tcPr>
            <w:tcW w:type="dxa" w:w="498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사업 포트폴리오와 하방 분산</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삼성전자</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VIII.  </w:t>
      </w:r>
      <w:r>
        <w:rPr>
          <w:rFonts w:ascii="맑은 고딕" w:hAnsi="맑은 고딕" w:eastAsia="맑은 고딕"/>
          <w:b/>
          <w:i w:val="0"/>
          <w:color w:val="0F2043"/>
          <w:sz w:val="32"/>
        </w:rPr>
        <w:t>로봇 — 로보티즈와 에스피지는 1:1이 아니다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QDD 직접성: 로보티즈 &gt; 에스피지. 하방 방어력: 에스피지 &gt; 로보티즈.</w:t>
            </w:r>
          </w:p>
          <w:p>
            <w:pPr>
              <w:spacing w:after="20" w:before="0" w:line="276" w:lineRule="auto"/>
            </w:pPr>
            <w:r>
              <w:rPr>
                <w:rFonts w:ascii="맑은 고딕" w:hAnsi="맑은 고딕" w:eastAsia="맑은 고딕"/>
                <w:b w:val="0"/>
                <w:i w:val="0"/>
                <w:color w:val="1A1A1A"/>
                <w:sz w:val="21"/>
              </w:rPr>
              <w:t>P/S 42.3배와 2029 EPS × 60배는 산정 연도가 다르다. 평균하면 안 된다.</w:t>
            </w:r>
          </w:p>
          <w:p>
            <w:pPr>
              <w:spacing w:after="20" w:before="0" w:line="276" w:lineRule="auto"/>
            </w:pPr>
            <w:r>
              <w:rPr>
                <w:rFonts w:ascii="맑은 고딕" w:hAnsi="맑은 고딕" w:eastAsia="맑은 고딕"/>
                <w:b w:val="0"/>
                <w:i w:val="0"/>
                <w:color w:val="1A1A1A"/>
                <w:sz w:val="21"/>
              </w:rPr>
              <w:t>SDD는 약 10% 경량화다. 5,000대는 목표이지 PO가 아니다.</w:t>
            </w:r>
          </w:p>
        </w:tc>
      </w:tr>
    </w:tbl>
    <w:p>
      <w:pPr>
        <w:spacing w:after="120"/>
      </w:pPr>
    </w:p>
    <w:p>
      <w:pPr>
        <w:spacing w:before="200" w:after="80"/>
      </w:pPr>
      <w:r>
        <w:rPr>
          <w:rFonts w:ascii="맑은 고딕" w:hAnsi="맑은 고딕" w:eastAsia="맑은 고딕"/>
          <w:b/>
          <w:i w:val="0"/>
          <w:color w:val="1E407C"/>
          <w:sz w:val="26"/>
        </w:rPr>
        <w:t>8-1. 로보티즈</w:t>
      </w:r>
    </w:p>
    <w:p>
      <w:pPr>
        <w:spacing w:after="120" w:before="0" w:line="283" w:lineRule="auto"/>
        <w:jc w:val="left"/>
      </w:pPr>
      <w:r>
        <w:rPr>
          <w:rFonts w:ascii="맑은 고딕" w:hAnsi="맑은 고딕" w:eastAsia="맑은 고딕"/>
          <w:b w:val="0"/>
          <w:i w:val="0"/>
          <w:color w:val="1A1A1A"/>
          <w:sz w:val="22"/>
        </w:rPr>
        <w:t>미래에셋 목표주가 35만6천 원은 2027년 예상 SPS 8,408원에 목표 P/S 42.3배를 적용한 결과다. 42.3배는 글로벌 휴머노이드 밸류체인 평균에 20% 프리미엄을 준 매우 높은 배수다. 2026년은 영업적자, 2027년 예상 P/E는 161.7배다. 우즈베키스탄 초기 수율·품질, Q 시리즈의 낮은 마진 가능성을 보고서도 위험으로 적는다.</w:t>
      </w:r>
    </w:p>
    <w:p>
      <w:pPr>
        <w:spacing w:after="120" w:before="0" w:line="283" w:lineRule="auto"/>
        <w:jc w:val="left"/>
      </w:pPr>
      <w:r>
        <w:rPr>
          <w:rFonts w:ascii="맑은 고딕" w:hAnsi="맑은 고딕" w:eastAsia="맑은 고딕"/>
          <w:b w:val="0"/>
          <w:i w:val="0"/>
          <w:color w:val="1A1A1A"/>
          <w:sz w:val="22"/>
        </w:rPr>
        <w:t>실물 가설은 비교적 명확하다.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2026년 1분기 액추에이터 매출 비중 97.33%, 가동률 89%.</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2025년 수주 약 44만 대 중 생산능력 제약으로 약 22만 대 출하.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우즈베키스탄 공장으로 2026년 4분기 20만 대 생산능력 추가.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QDD 기반 다이나믹셀 Q 시리즈의 중국 공급 확대 계획.</w:t>
      </w:r>
    </w:p>
    <w:p>
      <w:pPr>
        <w:spacing w:before="80" w:after="160" w:line="288" w:lineRule="auto"/>
        <w:jc w:val="center"/>
      </w:pPr>
      <w:r>
        <w:rPr>
          <w:rFonts w:ascii="맑은 고딕" w:hAnsi="맑은 고딕" w:eastAsia="맑은 고딕"/>
          <w:b/>
          <w:i w:val="0"/>
          <w:color w:val="0F2043"/>
          <w:sz w:val="20"/>
        </w:rPr>
        <w:t>수주 44만 대</w:t>
      </w:r>
      <w:r>
        <w:rPr>
          <w:rFonts w:ascii="맑은 고딕" w:hAnsi="맑은 고딕" w:eastAsia="맑은 고딕"/>
          <w:b/>
          <w:i w:val="0"/>
          <w:color w:val="B8943A"/>
          <w:sz w:val="20"/>
        </w:rPr>
        <w:t xml:space="preserve">   →   </w:t>
      </w:r>
      <w:r>
        <w:rPr>
          <w:rFonts w:ascii="맑은 고딕" w:hAnsi="맑은 고딕" w:eastAsia="맑은 고딕"/>
          <w:b/>
          <w:i w:val="0"/>
          <w:color w:val="0F2043"/>
          <w:sz w:val="20"/>
        </w:rPr>
        <w:t>출하 전환율</w:t>
      </w:r>
      <w:r>
        <w:rPr>
          <w:rFonts w:ascii="맑은 고딕" w:hAnsi="맑은 고딕" w:eastAsia="맑은 고딕"/>
          <w:b/>
          <w:i w:val="0"/>
          <w:color w:val="B8943A"/>
          <w:sz w:val="20"/>
        </w:rPr>
        <w:t xml:space="preserve">   →   </w:t>
      </w:r>
      <w:r>
        <w:rPr>
          <w:rFonts w:ascii="맑은 고딕" w:hAnsi="맑은 고딕" w:eastAsia="맑은 고딕"/>
          <w:b/>
          <w:i w:val="0"/>
          <w:color w:val="0F2043"/>
          <w:sz w:val="20"/>
        </w:rPr>
        <w:t>우즈벡 수율</w:t>
      </w:r>
      <w:r>
        <w:rPr>
          <w:rFonts w:ascii="맑은 고딕" w:hAnsi="맑은 고딕" w:eastAsia="맑은 고딕"/>
          <w:b/>
          <w:i w:val="0"/>
          <w:color w:val="B8943A"/>
          <w:sz w:val="20"/>
        </w:rPr>
        <w:t xml:space="preserve">   →   </w:t>
      </w:r>
      <w:r>
        <w:rPr>
          <w:rFonts w:ascii="맑은 고딕" w:hAnsi="맑은 고딕" w:eastAsia="맑은 고딕"/>
          <w:b/>
          <w:i w:val="0"/>
          <w:color w:val="0F2043"/>
          <w:sz w:val="20"/>
        </w:rPr>
        <w:t>Q 시리즈 마진</w:t>
      </w:r>
      <w:r>
        <w:rPr>
          <w:rFonts w:ascii="맑은 고딕" w:hAnsi="맑은 고딕" w:eastAsia="맑은 고딕"/>
          <w:b/>
          <w:i w:val="0"/>
          <w:color w:val="B8943A"/>
          <w:sz w:val="20"/>
        </w:rPr>
        <w:t xml:space="preserve">   →   </w:t>
      </w:r>
      <w:r>
        <w:rPr>
          <w:rFonts w:ascii="맑은 고딕" w:hAnsi="맑은 고딕" w:eastAsia="맑은 고딕"/>
          <w:b/>
          <w:i w:val="0"/>
          <w:color w:val="0F2043"/>
          <w:sz w:val="20"/>
        </w:rPr>
        <w:t>반복 주문</w:t>
      </w:r>
    </w:p>
    <w:p>
      <w:pPr>
        <w:spacing w:before="200" w:after="80"/>
      </w:pPr>
      <w:r>
        <w:rPr>
          <w:rFonts w:ascii="맑은 고딕" w:hAnsi="맑은 고딕" w:eastAsia="맑은 고딕"/>
          <w:b/>
          <w:i w:val="0"/>
          <w:color w:val="1E407C"/>
          <w:sz w:val="26"/>
        </w:rPr>
        <w:t>8-2. 에스피지</w:t>
      </w:r>
    </w:p>
    <w:p>
      <w:pPr>
        <w:spacing w:after="120" w:before="0" w:line="283" w:lineRule="auto"/>
        <w:jc w:val="left"/>
      </w:pPr>
      <w:r>
        <w:rPr>
          <w:rFonts w:ascii="맑은 고딕" w:hAnsi="맑은 고딕" w:eastAsia="맑은 고딕"/>
          <w:b w:val="0"/>
          <w:i w:val="0"/>
          <w:color w:val="1A1A1A"/>
          <w:sz w:val="22"/>
        </w:rPr>
        <w:t>iM증권 목표주가 16만 원은 2029F EPS 2,623원 × P/E 60배 = 157,380원 ≈ 160,000원이다. 핵심 위험은 2029년 이익을 12개월 목표에 썼다는 점이다. 같은 보고서의 2028E EPS는 1,913원이다.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적용 EPS</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P/E 40배</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P/E 50배</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P/E 60배</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2028E 1,913원</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7.65만 원</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9.57만 원</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11.48만 원</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2029F 2,623원</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10.49만 원</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13.12만 원</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15.74만 원</w:t>
            </w:r>
          </w:p>
        </w:tc>
      </w:tr>
    </w:tbl>
    <w:p>
      <w:pPr>
        <w:spacing w:after="160" w:before="40"/>
      </w:pPr>
    </w:p>
    <w:p>
      <w:pPr>
        <w:spacing w:after="120" w:before="0" w:line="283" w:lineRule="auto"/>
        <w:jc w:val="left"/>
      </w:pPr>
      <w:r>
        <w:rPr>
          <w:rFonts w:ascii="맑은 고딕" w:hAnsi="맑은 고딕" w:eastAsia="맑은 고딕"/>
          <w:b w:val="0"/>
          <w:i w:val="0"/>
          <w:color w:val="1A1A1A"/>
          <w:sz w:val="22"/>
        </w:rPr>
        <w:t>미래에셋은 에스피지에 2027년 SPS 17,608원과 P/S 7.3배를 적용해 12만9천 원을 제시했다. iM증권 16만 원과 산정 연도·지표가 다르다. 평균하면 안 된다.</w:t>
      </w:r>
    </w:p>
    <w:p>
      <w:pPr>
        <w:spacing w:before="200" w:after="80"/>
      </w:pPr>
      <w:r>
        <w:rPr>
          <w:rFonts w:ascii="맑은 고딕" w:hAnsi="맑은 고딕" w:eastAsia="맑은 고딕"/>
          <w:b/>
          <w:i w:val="0"/>
          <w:color w:val="1E407C"/>
          <w:sz w:val="26"/>
        </w:rPr>
        <w:t>8-3. SDD — 90% 경량화가 아니다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E8F5E9"/>
            <w:tcBorders>
              <w:top w:val="nil"/>
              <w:left w:val="single" w:sz="28" w:space="0" w:color="166534"/>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66534"/>
                <w:sz w:val="20"/>
              </w:rPr>
              <w:t>게시용 문안</w:t>
            </w:r>
          </w:p>
          <w:p>
            <w:pPr>
              <w:spacing w:after="20" w:before="0" w:line="276" w:lineRule="auto"/>
            </w:pPr>
            <w:r>
              <w:rPr>
                <w:rFonts w:ascii="맑은 고딕" w:hAnsi="맑은 고딕" w:eastAsia="맑은 고딕"/>
                <w:b w:val="0"/>
                <w:i w:val="0"/>
                <w:color w:val="1A1A1A"/>
                <w:sz w:val="21"/>
              </w:rPr>
              <w:t>SDD 무게는 중국산 대비 90% 경량화가 아니다.</w:t>
            </w:r>
          </w:p>
          <w:p>
            <w:pPr>
              <w:spacing w:after="20" w:before="0" w:line="276" w:lineRule="auto"/>
            </w:pPr>
            <w:r>
              <w:rPr>
                <w:rFonts w:ascii="맑은 고딕" w:hAnsi="맑은 고딕" w:eastAsia="맑은 고딕"/>
                <w:b w:val="0"/>
                <w:i w:val="0"/>
                <w:color w:val="1A1A1A"/>
                <w:sz w:val="21"/>
              </w:rPr>
              <w:t>보고서 본문은 중국 제품 무게의 약 90% 수준, 즉 대략 10% 경량화다.</w:t>
            </w:r>
          </w:p>
          <w:p>
            <w:pPr>
              <w:spacing w:after="20" w:before="0" w:line="276" w:lineRule="auto"/>
            </w:pPr>
            <w:r>
              <w:rPr>
                <w:rFonts w:ascii="맑은 고딕" w:hAnsi="맑은 고딕" w:eastAsia="맑은 고딕"/>
                <w:b w:val="0"/>
                <w:i w:val="0"/>
                <w:color w:val="1A1A1A"/>
                <w:sz w:val="21"/>
              </w:rPr>
              <w:t>SDD 5,000대 · KIMM 1,000대 · LG 4,000대는 목표와 공급 추진이지 확정 발주가 아니다.</w:t>
            </w:r>
          </w:p>
        </w:tc>
      </w:tr>
    </w:tbl>
    <w:p>
      <w:pPr>
        <w:spacing w:after="120"/>
      </w:pPr>
    </w:p>
    <w:p>
      <w:pPr>
        <w:spacing w:before="200" w:after="80"/>
      </w:pPr>
      <w:r>
        <w:rPr>
          <w:rFonts w:ascii="맑은 고딕" w:hAnsi="맑은 고딕" w:eastAsia="맑은 고딕"/>
          <w:b/>
          <w:i w:val="0"/>
          <w:color w:val="1E407C"/>
          <w:sz w:val="26"/>
        </w:rPr>
        <w:t>8-4. 비교표</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기준</w:t>
            </w:r>
          </w:p>
        </w:tc>
        <w:tc>
          <w:tcPr>
            <w:tcW w:type="dxa" w:w="374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로보티즈</w:t>
            </w:r>
          </w:p>
        </w:tc>
        <w:tc>
          <w:tcPr>
            <w:tcW w:type="dxa" w:w="374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에스피지</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QDD 직접 노출</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높음</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아직 초기</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자체 완성 액추에이터</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강점</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SDD 신규 진입</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현재 실적 기반</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약함 · 2026E 적자</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모터·감속기 본업 존재</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핵심 촉매</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Q 시리즈 · 우즈벡 램프업</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정밀감속기 매출 · SDD 출하</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가장 큰 위험</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P/S 42.3배 · 수율 · 마진</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2029 EPS · 60배 적용</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고객 검증</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중국 고객 반복 주문</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레인보우 · LG · KIMM 실제 PO</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투자 성격</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고베타 QDD 순수 플레이</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본업 + 로봇 옵션</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IX.  </w:t>
      </w:r>
      <w:r>
        <w:rPr>
          <w:rFonts w:ascii="맑은 고딕" w:hAnsi="맑은 고딕" w:eastAsia="맑은 고딕"/>
          <w:b/>
          <w:i w:val="0"/>
          <w:color w:val="0F2043"/>
          <w:sz w:val="32"/>
        </w:rPr>
        <w:t>매도의 기술과 실행 신호판</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장은 추천이 아니다</w:t>
            </w:r>
          </w:p>
          <w:p>
            <w:pPr>
              <w:spacing w:after="20" w:before="0" w:line="276" w:lineRule="auto"/>
            </w:pPr>
            <w:r>
              <w:rPr>
                <w:rFonts w:ascii="맑은 고딕" w:hAnsi="맑은 고딕" w:eastAsia="맑은 고딕"/>
                <w:b w:val="0"/>
                <w:i w:val="0"/>
                <w:color w:val="1A1A1A"/>
                <w:sz w:val="21"/>
              </w:rPr>
              <w:t>아래는 제공 자료를 강의 형식으로 정리한 점검표다. 특정 종목의 매수·매도를 권유하지 않는다.</w:t>
            </w:r>
          </w:p>
          <w:p>
            <w:pPr>
              <w:spacing w:after="20" w:before="0" w:line="276" w:lineRule="auto"/>
            </w:pPr>
            <w:r>
              <w:rPr>
                <w:rFonts w:ascii="맑은 고딕" w:hAnsi="맑은 고딕" w:eastAsia="맑은 고딕"/>
                <w:b w:val="0"/>
                <w:i w:val="0"/>
                <w:color w:val="1A1A1A"/>
                <w:sz w:val="21"/>
              </w:rPr>
              <w:t>과거의 고점은 투자자의 본전이 아니다. 기준은 현재 기업가치, 앞으로의 이익 전망, 처음 세운 논리의 유효성이다.</w:t>
            </w:r>
          </w:p>
        </w:tc>
      </w:tr>
    </w:tbl>
    <w:p>
      <w:pPr>
        <w:spacing w:after="120"/>
      </w:pPr>
    </w:p>
    <w:p>
      <w:pPr>
        <w:spacing w:before="80" w:after="160" w:line="288" w:lineRule="auto"/>
        <w:jc w:val="center"/>
      </w:pPr>
      <w:r>
        <w:rPr>
          <w:rFonts w:ascii="맑은 고딕" w:hAnsi="맑은 고딕" w:eastAsia="맑은 고딕"/>
          <w:b/>
          <w:i w:val="0"/>
          <w:color w:val="0F2043"/>
          <w:sz w:val="22"/>
        </w:rPr>
        <w:t>왜 샀는지 기록</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논리가 훼손됐는지</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수급·가격·거래량 교차</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1–3회로 실행</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틀리면 더 높은 가격에도 재매수</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역할</w:t>
            </w:r>
          </w:p>
        </w:tc>
        <w:tc>
          <w:tcPr>
            <w:tcW w:type="dxa" w:w="39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기본적 분석</w:t>
            </w:r>
          </w:p>
        </w:tc>
        <w:tc>
          <w:tcPr>
            <w:tcW w:type="dxa" w:w="39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기술적 분석</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핵심 질문</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팔아야 하는가</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언제, 어떻게 팔 것인가</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관찰</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이익, 수요, 가격, 경쟁</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추세, 거래량, 수급</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한계</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변화 반영이 늦을 수 있음</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횡보에서 거짓신호</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우선순위</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1순위</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실행 보조</w:t>
            </w:r>
          </w:p>
        </w:tc>
      </w:tr>
    </w:tbl>
    <w:p>
      <w:pPr>
        <w:spacing w:after="160" w:before="40"/>
      </w:pP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섹터</w:t>
            </w:r>
          </w:p>
        </w:tc>
        <w:tc>
          <w:tcPr>
            <w:tcW w:type="dxa" w:w="748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핵심 매도 신호</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반도체·정유·화학</w:t>
            </w:r>
          </w:p>
        </w:tc>
        <w:tc>
          <w:tcPr>
            <w:tcW w:type="dxa" w:w="748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가격 상승 둔화, 재고 증가, 경쟁적 증설, 현물가와 계약가 역전</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화장품·소비재</w:t>
            </w:r>
          </w:p>
        </w:tc>
        <w:tc>
          <w:tcPr>
            <w:tcW w:type="dxa" w:w="748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수출액·단가·마진 하락, 강한 신규 경쟁자</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AI·로봇 성장주</w:t>
            </w:r>
          </w:p>
        </w:tc>
        <w:tc>
          <w:tcPr>
            <w:tcW w:type="dxa" w:w="748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이벤트 후 매출 미전환, CAPEX 지연, 가동률 저조, 자금조달 부담</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바이오</w:t>
            </w:r>
          </w:p>
        </w:tc>
        <w:tc>
          <w:tcPr>
            <w:tcW w:type="dxa" w:w="748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임상 실패·지연, 기술이전 조건 악화, 현금소진 가속</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자동차</w:t>
            </w:r>
          </w:p>
        </w:tc>
        <w:tc>
          <w:tcPr>
            <w:tcW w:type="dxa" w:w="748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판매량, ASP, 인센티브, 재고, 환율, 관세, 환원 변화</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건설·전력</w:t>
            </w:r>
          </w:p>
        </w:tc>
        <w:tc>
          <w:tcPr>
            <w:tcW w:type="dxa" w:w="748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수주 취소, 원가율 악화, 자금조달 비용, 인허가 지연</w:t>
            </w:r>
          </w:p>
        </w:tc>
      </w:tr>
    </w:tbl>
    <w:p>
      <w:pPr>
        <w:spacing w:after="160" w:before="40"/>
      </w:pPr>
    </w:p>
    <w:p>
      <w:pPr>
        <w:spacing w:before="200" w:after="80"/>
      </w:pPr>
      <w:r>
        <w:rPr>
          <w:rFonts w:ascii="맑은 고딕" w:hAnsi="맑은 고딕" w:eastAsia="맑은 고딕"/>
          <w:b/>
          <w:i w:val="0"/>
          <w:color w:val="1E407C"/>
          <w:sz w:val="26"/>
        </w:rPr>
        <w:t>9-1. 실행용 위험 신호판 [PDF]</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238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변수</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우호</w:t>
            </w:r>
          </w:p>
        </w:tc>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경계</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위험</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미 10년물</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4.75% 이하</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4.75–4.90%</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4.90–5.00% 이상</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미 30년물</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5.10% 아래</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5.10–5.30%</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5.30% 이상, 특히 5.40%</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코어 PCE</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3.2% 이하</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3.3%</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3.4% 이상</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NVIDIA 가이드</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컨센 상회</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컨센 부합</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컨센 하회</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NVIDIA 총마진</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75% 이상</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74.5–75.0%</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74.5% 미만 및 하향</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재무부 바이백</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금리 하락 지속</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초기 하락 후 반등</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실행 후에도 금리 신고가</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달러와 금</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둘 다 안정</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혼조</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금리↑ 달러↓ 금↑</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한국 반도체 수급</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외국인 현물 순매수</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선물만 순매수</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현물·선물 동반 매도</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가장 위험한 조합 [PDF]</w:t>
            </w:r>
          </w:p>
          <w:p>
            <w:pPr>
              <w:spacing w:after="20" w:before="0" w:line="276" w:lineRule="auto"/>
            </w:pPr>
            <w:r>
              <w:rPr>
                <w:rFonts w:ascii="맑은 고딕" w:hAnsi="맑은 고딕" w:eastAsia="맑은 고딕"/>
                <w:b w:val="0"/>
                <w:i w:val="0"/>
                <w:color w:val="1A1A1A"/>
                <w:sz w:val="21"/>
              </w:rPr>
              <w:t>코어 PCE 3.4% 이상 + NVIDIA 가이드 미달 + 30년 5.4% 이상 + Warsh 신뢰 실패 + 텍사스형 DC 규제 확산. 한 가지보다 세 가지 이상이 동시에 올 때 하락 체제가 바뀐다.</w:t>
            </w:r>
          </w:p>
        </w:tc>
      </w:tr>
    </w:tbl>
    <w:p>
      <w:pPr>
        <w:spacing w:after="120"/>
      </w:pPr>
    </w:p>
    <w:p>
      <w:pPr>
        <w:spacing w:before="200" w:after="80"/>
      </w:pPr>
      <w:r>
        <w:rPr>
          <w:rFonts w:ascii="맑은 고딕" w:hAnsi="맑은 고딕" w:eastAsia="맑은 고딕"/>
          <w:b/>
          <w:i w:val="0"/>
          <w:color w:val="1E407C"/>
          <w:sz w:val="26"/>
        </w:rPr>
        <w:t>9-2. 조건부 자산배분 템플릿 [PDF, 가정]</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상태</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AI 및 반도체</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Non-AI</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현금·단기채·헤지</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이벤트 전</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25–30%</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30–35%</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35–45%</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우호적 조합 확인</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35–45%</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30–35%</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20–30%</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혼합 조합</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25–35%</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35–40%</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30–40%</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최악 조합</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15–25%</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25–35%</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40–55%</w:t>
            </w:r>
          </w:p>
        </w:tc>
      </w:tr>
    </w:tbl>
    <w:p>
      <w:pPr>
        <w:spacing w:after="160" w:before="40"/>
      </w:pPr>
    </w:p>
    <w:p>
      <w:pPr>
        <w:spacing w:after="120" w:before="0" w:line="283" w:lineRule="auto"/>
        <w:jc w:val="left"/>
      </w:pPr>
      <w:r>
        <w:rPr>
          <w:rFonts w:ascii="맑은 고딕" w:hAnsi="맑은 고딕" w:eastAsia="맑은 고딕"/>
          <w:b w:val="0"/>
          <w:i w:val="0"/>
          <w:color w:val="4B5563"/>
          <w:sz w:val="20"/>
        </w:rPr>
        <w:t>위 비중은 개인 맞춤 권고가 아니라 제공자료를 구조화한 조건부 템플릿이다. 레버리지·투자기간·세금·현금흐름에 따라 달라져야 한다.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X.  </w:t>
      </w:r>
      <w:r>
        <w:rPr>
          <w:rFonts w:ascii="맑은 고딕" w:hAnsi="맑은 고딕" w:eastAsia="맑은 고딕"/>
          <w:b/>
          <w:i w:val="0"/>
          <w:color w:val="0F2043"/>
          <w:sz w:val="32"/>
        </w:rPr>
        <w:t>준혁 프레임 — 유지와 추가</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어제의 여섯 교정과 Apple 루머 배제는 그대로 유지한다.</w:t>
            </w:r>
          </w:p>
          <w:p>
            <w:pPr>
              <w:spacing w:after="20" w:before="0" w:line="276" w:lineRule="auto"/>
            </w:pPr>
            <w:r>
              <w:rPr>
                <w:rFonts w:ascii="맑은 고딕" w:hAnsi="맑은 고딕" w:eastAsia="맑은 고딕"/>
                <w:b w:val="0"/>
                <w:i w:val="0"/>
                <w:color w:val="1A1A1A"/>
                <w:sz w:val="21"/>
              </w:rPr>
              <w:t>오늘은 금리 임계, 풋≠QE, 억압의 시계, 환원 속도, 로봇 1:1 금지를 추가한다.</w:t>
            </w:r>
          </w:p>
        </w:tc>
      </w:tr>
    </w:tbl>
    <w:p>
      <w:pPr>
        <w:spacing w:after="120"/>
      </w:pPr>
    </w:p>
    <w:p>
      <w:pPr>
        <w:spacing w:before="200" w:after="80"/>
      </w:pPr>
      <w:r>
        <w:rPr>
          <w:rFonts w:ascii="맑은 고딕" w:hAnsi="맑은 고딕" w:eastAsia="맑은 고딕"/>
          <w:b/>
          <w:i w:val="0"/>
          <w:color w:val="1E407C"/>
          <w:sz w:val="26"/>
        </w:rPr>
        <w:t>10-1. 유지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마이크론 150% = 데이터센터 요구량 ÷ 마이크론 확약 가능 공급. 산업 전체 50% 부족이 아니다.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MCP ≠ HBM ≠ DDR5.</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NVIDIA 15% = AI 칩 탑재 서버 시스템 가격. Bloomberg. 공식 GPU ASP 아님.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Google 29.45% / ChatGPT 25.94% = 미국 상업성·광고 유발 표본.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OpenAI $3~$5 = 권장 최대 CPC 입찰가. 실제 CPC 아님.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SPG SDD 무게 ≈ 중국 제품 무게의 90% ≈ 10% 경량화. 90% 경량화가 아님.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Apple CXMT/YMTC 승인은 웨이보발 루머(Wccftech 60% Plausible). 투자 테제로 쓰지 않는다.</w:t>
      </w:r>
    </w:p>
    <w:p>
      <w:pPr>
        <w:spacing w:before="200" w:after="80"/>
      </w:pPr>
      <w:r>
        <w:rPr>
          <w:rFonts w:ascii="맑은 고딕" w:hAnsi="맑은 고딕" w:eastAsia="맑은 고딕"/>
          <w:b/>
          <w:i w:val="0"/>
          <w:color w:val="1E407C"/>
          <w:sz w:val="26"/>
        </w:rPr>
        <w:t>10-2. 추가</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47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프레임</w:t>
            </w:r>
          </w:p>
        </w:tc>
        <w:tc>
          <w:tcPr>
            <w:tcW w:type="dxa" w:w="45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쓰는 말</w:t>
            </w:r>
          </w:p>
        </w:tc>
        <w:tc>
          <w:tcPr>
            <w:tcW w:type="dxa" w:w="39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쓰지 말 말</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금리</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5%는 풋의 테스트. TIPS 3.0%가 본선</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헤드라인 5% = 자동 폭락</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풋</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재무부 바이백. TGA 현금. QE 아님</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베선트 풋 = 양적완화</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억압</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수년 스케치. 누가 이기고 지는지</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이번 주 실물 매수 이유</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전가</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서버 시스템 · 분모 있는 광고 · 조달 레버리지</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15% GPU, 광고 1/3, 실제 CPC $3~$5</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한국</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닉스 소각이 1라운드 수급. 삼성은 배당 先行</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110조를 즉시 매입·소각으로 읽기</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ABF</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고사양 수율·유효 CAPA</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필름 절대부족</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로봇</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직접성 vs 방어력. 밸류 전제를 공개</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1:1 비교, 90% 경량화, 5,000대 PO</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정치</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규제 × 재정 조합. 텍사스 양면</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규제 완화 = 무조건 호재</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매도</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논리 훼손 + 신호판 3개 이상</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과거 고점 = 본전</w:t>
            </w:r>
          </w:p>
        </w:tc>
      </w:tr>
    </w:tbl>
    <w:p>
      <w:pPr>
        <w:spacing w:after="160" w:before="40"/>
      </w:pPr>
    </w:p>
    <w:p>
      <w:pPr>
        <w:spacing w:before="200" w:after="80"/>
      </w:pPr>
      <w:r>
        <w:rPr>
          <w:rFonts w:ascii="맑은 고딕" w:hAnsi="맑은 고딕" w:eastAsia="맑은 고딕"/>
          <w:b/>
          <w:i w:val="0"/>
          <w:color w:val="1E407C"/>
          <w:sz w:val="26"/>
        </w:rPr>
        <w:t>10-3. 강한 신호 / 추가 검증 / 쓰면 안 되는 것</w:t>
      </w:r>
    </w:p>
    <w:p>
      <w:pPr>
        <w:spacing w:after="40" w:before="0" w:line="283" w:lineRule="auto"/>
        <w:jc w:val="left"/>
      </w:pPr>
      <w:r>
        <w:rPr>
          <w:rFonts w:ascii="맑은 고딕" w:hAnsi="맑은 고딕" w:eastAsia="맑은 고딕"/>
          <w:b/>
          <w:i w:val="0"/>
          <w:color w:val="1A1A1A"/>
          <w:sz w:val="22"/>
        </w:rPr>
        <w:t>근거가 강한 신호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재무부 바이백 $2B → 최소 $4B, 9/9~11/4, TGA 재원 가능성 [확인].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FY2025 순이자 &gt; 국방, Ferguson’s Law 임계 [확인].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메모리 비용의 서버 시스템 가격 전가 [확인, 공식은 아님].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닉스 40조 매입·전량소각, 삼성 90~110조·3Q 배당 약 30조 [확인].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상업성 AI 질의의 광고 재고 형성 [확인, 분모 필요].</w:t>
      </w:r>
    </w:p>
    <w:p>
      <w:pPr>
        <w:spacing w:after="40" w:before="0" w:line="283" w:lineRule="auto"/>
        <w:jc w:val="left"/>
      </w:pPr>
      <w:r>
        <w:rPr>
          <w:rFonts w:ascii="맑은 고딕" w:hAnsi="맑은 고딕" w:eastAsia="맑은 고딕"/>
          <w:b/>
          <w:i w:val="0"/>
          <w:color w:val="1A1A1A"/>
          <w:sz w:val="22"/>
        </w:rPr>
        <w:t>추가 검증이 필요한 신호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9/9 실제 매입 규모와 장기금리 반응.</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NVIDIA 3Q 가이드와 마진, 메모리 전가 언급.</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닉스 일 매입 속도가 유지되는지.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삼성 10월 배당 총액과 1월 잔여 방식.</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ABF 고객 인증·수율·ASP.</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로보티즈 우즈벡 수율, 에스피지 SDD 실제 PO.</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ChatGPT CTR·실효 CPC·전환율.</w:t>
      </w:r>
    </w:p>
    <w:p>
      <w:pPr>
        <w:spacing w:after="40" w:before="0" w:line="283" w:lineRule="auto"/>
        <w:jc w:val="left"/>
      </w:pPr>
      <w:r>
        <w:rPr>
          <w:rFonts w:ascii="맑은 고딕" w:hAnsi="맑은 고딕" w:eastAsia="맑은 고딕"/>
          <w:b/>
          <w:i w:val="0"/>
          <w:color w:val="1A1A1A"/>
          <w:sz w:val="22"/>
        </w:rPr>
        <w:t>지금 투자 근거로 쓰면 안 되는 것</w:t>
      </w:r>
    </w:p>
    <w:tbl>
      <w:tblPr>
        <w:tblW w:type="auto" w:w="0"/>
        <w:jc w:val="center"/>
        <w:tblLayout w:type="autofit"/>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쓰지 말 것</w:t>
            </w:r>
          </w:p>
          <w:p>
            <w:pPr>
              <w:spacing w:after="20" w:before="0" w:line="276" w:lineRule="auto"/>
            </w:pPr>
            <w:r>
              <w:rPr>
                <w:rFonts w:ascii="맑은 고딕" w:hAnsi="맑은 고딕" w:eastAsia="맑은 고딕"/>
                <w:b w:val="0"/>
                <w:i w:val="0"/>
                <w:color w:val="1A1A1A"/>
                <w:sz w:val="21"/>
              </w:rPr>
              <w:t>트럼프가 Apple의 CXMT·YMTC 구매를 승인할 것이라는 웨이보발 루머.</w:t>
            </w:r>
          </w:p>
          <w:p>
            <w:pPr>
              <w:spacing w:after="20" w:before="0" w:line="276" w:lineRule="auto"/>
            </w:pPr>
            <w:r>
              <w:rPr>
                <w:rFonts w:ascii="맑은 고딕" w:hAnsi="맑은 고딕" w:eastAsia="맑은 고딕"/>
                <w:b w:val="0"/>
                <w:i w:val="0"/>
                <w:color w:val="1A1A1A"/>
                <w:sz w:val="21"/>
              </w:rPr>
              <w:t>금융억압이 시작됐으니 이번 주 실물을 사라.</w:t>
            </w:r>
          </w:p>
          <w:p>
            <w:pPr>
              <w:spacing w:after="20" w:before="0" w:line="276" w:lineRule="auto"/>
            </w:pPr>
            <w:r>
              <w:rPr>
                <w:rFonts w:ascii="맑은 고딕" w:hAnsi="맑은 고딕" w:eastAsia="맑은 고딕"/>
                <w:b w:val="0"/>
                <w:i w:val="0"/>
                <w:color w:val="1A1A1A"/>
                <w:sz w:val="21"/>
              </w:rPr>
              <w:t>베선트 풋은 QE다.</w:t>
            </w:r>
          </w:p>
          <w:p>
            <w:pPr>
              <w:spacing w:after="20" w:before="0" w:line="276" w:lineRule="auto"/>
            </w:pPr>
            <w:r>
              <w:rPr>
                <w:rFonts w:ascii="맑은 고딕" w:hAnsi="맑은 고딕" w:eastAsia="맑은 고딕"/>
                <w:b w:val="0"/>
                <w:i w:val="0"/>
                <w:color w:val="1A1A1A"/>
                <w:sz w:val="21"/>
              </w:rPr>
              <w:t>NVIDIA가 GPU 가격을 15% 올린다고 공식 발표했다.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XI.  </w:t>
      </w:r>
      <w:r>
        <w:rPr>
          <w:rFonts w:ascii="맑은 고딕" w:hAnsi="맑은 고딕" w:eastAsia="맑은 고딕"/>
          <w:b/>
          <w:i w:val="0"/>
          <w:color w:val="0F2043"/>
          <w:sz w:val="32"/>
        </w:rPr>
        <w:t>체크 순서</w:t>
      </w: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순서대로 본다</w:t>
            </w:r>
          </w:p>
          <w:p>
            <w:pPr>
              <w:spacing w:after="20" w:before="0" w:line="276" w:lineRule="auto"/>
            </w:pPr>
            <w:r>
              <w:rPr>
                <w:rFonts w:ascii="맑은 고딕" w:hAnsi="맑은 고딕" w:eastAsia="맑은 고딕"/>
                <w:b w:val="0"/>
                <w:i w:val="0"/>
                <w:color w:val="1A1A1A"/>
                <w:sz w:val="21"/>
              </w:rPr>
              <w:t>물가 → 실물수요 → 한국 금리 → Fed 반응함수 → 9/9 실행력.</w:t>
            </w:r>
          </w:p>
          <w:p>
            <w:pPr>
              <w:spacing w:after="20" w:before="0" w:line="276" w:lineRule="auto"/>
            </w:pPr>
            <w:r>
              <w:rPr>
                <w:rFonts w:ascii="맑은 고딕" w:hAnsi="맑은 고딕" w:eastAsia="맑은 고딕"/>
                <w:b w:val="0"/>
                <w:i w:val="0"/>
                <w:color w:val="1A1A1A"/>
                <w:sz w:val="21"/>
              </w:rPr>
              <w:t>한 이벤트가 틀려도 다음 창이 남아 있다. 한 방에 결론 내지 않는다.</w:t>
            </w:r>
          </w:p>
        </w:tc>
      </w:tr>
    </w:tbl>
    <w:p>
      <w:pPr>
        <w:spacing w:after="120"/>
      </w:pP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90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순서</w:t>
            </w:r>
          </w:p>
        </w:tc>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창</w:t>
            </w:r>
          </w:p>
        </w:tc>
        <w:tc>
          <w:tcPr>
            <w:tcW w:type="dxa" w:w="36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통과 조건</w:t>
            </w:r>
          </w:p>
        </w:tc>
        <w:tc>
          <w:tcPr>
            <w:tcW w:type="dxa" w:w="351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실패 시</w:t>
            </w:r>
          </w:p>
        </w:tc>
      </w:tr>
      <w:tr>
        <w:trPr>
          <w:cantSplit/>
        </w:trPr>
        <w:tc>
          <w:tcPr>
            <w:tcW w:type="dxa" w:w="90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w:t>
            </w:r>
          </w:p>
        </w:tc>
        <w:tc>
          <w:tcPr>
            <w:tcW w:type="dxa" w:w="19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8/26 PCE</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코어가 가정(+3.3%) 근처</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3.4% 이상이면 9월 인상 확률을 다시 본다 [가정]</w:t>
            </w:r>
          </w:p>
        </w:tc>
      </w:tr>
      <w:tr>
        <w:trPr>
          <w:cantSplit/>
        </w:trPr>
        <w:tc>
          <w:tcPr>
            <w:tcW w:type="dxa" w:w="90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w:t>
            </w:r>
          </w:p>
        </w:tc>
        <w:tc>
          <w:tcPr>
            <w:tcW w:type="dxa" w:w="19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8/27 NVIDIA</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매출 부합 + 3Q 가이드 ~$103B + 마진 ~75%</w:t>
            </w:r>
          </w:p>
        </w:tc>
        <w:tc>
          <w:tcPr>
            <w:tcW w:type="dxa" w:w="351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가이드 미달이면 전가·대수 논쟁 재개</w:t>
            </w:r>
          </w:p>
        </w:tc>
      </w:tr>
      <w:tr>
        <w:trPr>
          <w:cantSplit/>
        </w:trPr>
        <w:tc>
          <w:tcPr>
            <w:tcW w:type="dxa" w:w="90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w:t>
            </w:r>
          </w:p>
        </w:tc>
        <w:tc>
          <w:tcPr>
            <w:tcW w:type="dxa" w:w="19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8/27 금통위</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시장이 소화할 수 있는 문구</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매파 + 환율 충격이면 국내 채권 변동성</w:t>
            </w:r>
          </w:p>
        </w:tc>
      </w:tr>
      <w:tr>
        <w:trPr>
          <w:cantSplit/>
        </w:trPr>
        <w:tc>
          <w:tcPr>
            <w:tcW w:type="dxa" w:w="90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4</w:t>
            </w:r>
          </w:p>
        </w:tc>
        <w:tc>
          <w:tcPr>
            <w:tcW w:type="dxa" w:w="19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8/28 Warsh</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원론·반응함수 설명</w:t>
            </w:r>
          </w:p>
        </w:tc>
        <w:tc>
          <w:tcPr>
            <w:tcW w:type="dxa" w:w="351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재정·장기금리 불신으로 읽히면 30년 재급등</w:t>
            </w:r>
          </w:p>
        </w:tc>
      </w:tr>
      <w:tr>
        <w:trPr>
          <w:cantSplit/>
        </w:trPr>
        <w:tc>
          <w:tcPr>
            <w:tcW w:type="dxa" w:w="90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5</w:t>
            </w:r>
          </w:p>
        </w:tc>
        <w:tc>
          <w:tcPr>
            <w:tcW w:type="dxa" w:w="19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9/9 바이백</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실제 호가와 $4B+ 집행</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규모만 있고 금리가 안 내려가면 풋 신뢰 약화</w:t>
            </w:r>
          </w:p>
        </w:tc>
      </w:tr>
    </w:tbl>
    <w:p>
      <w:pPr>
        <w:spacing w:after="160" w:before="40"/>
      </w:pPr>
    </w:p>
    <w:p>
      <w:pPr>
        <w:spacing w:before="200" w:after="80"/>
      </w:pPr>
      <w:r>
        <w:rPr>
          <w:rFonts w:ascii="맑은 고딕" w:hAnsi="맑은 고딕" w:eastAsia="맑은 고딕"/>
          <w:b/>
          <w:i w:val="0"/>
          <w:color w:val="1E407C"/>
          <w:sz w:val="26"/>
        </w:rPr>
        <w:t>11-1. 배포 체크리스트</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8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확인할 문장</w:t>
            </w:r>
          </w:p>
        </w:tc>
        <w:tc>
          <w:tcPr>
            <w:tcW w:type="dxa" w:w="714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통과 조건</w:t>
            </w:r>
          </w:p>
        </w:tc>
      </w:tr>
      <w:tr>
        <w:trPr>
          <w:cantSplit/>
        </w:trPr>
        <w:tc>
          <w:tcPr>
            <w:tcW w:type="dxa" w:w="28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 150%</w:t>
            </w:r>
          </w:p>
        </w:tc>
        <w:tc>
          <w:tcPr>
            <w:tcW w:type="dxa" w:w="71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분모가 ‘확약 가능 공급량’인가</w:t>
            </w:r>
          </w:p>
        </w:tc>
      </w:tr>
      <w:tr>
        <w:trPr>
          <w:cantSplit/>
        </w:trPr>
        <w:tc>
          <w:tcPr>
            <w:tcW w:type="dxa" w:w="28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MCP</w:t>
            </w:r>
          </w:p>
        </w:tc>
        <w:tc>
          <w:tcPr>
            <w:tcW w:type="dxa" w:w="71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HBM·DDR5와 등치하지 않았는가</w:t>
            </w:r>
          </w:p>
        </w:tc>
      </w:tr>
      <w:tr>
        <w:trPr>
          <w:cantSplit/>
        </w:trPr>
        <w:tc>
          <w:tcPr>
            <w:tcW w:type="dxa" w:w="28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NVIDIA 15%</w:t>
            </w:r>
          </w:p>
        </w:tc>
        <w:tc>
          <w:tcPr>
            <w:tcW w:type="dxa" w:w="71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서버 시스템 가격·비공식 보도인가</w:t>
            </w:r>
          </w:p>
        </w:tc>
      </w:tr>
      <w:tr>
        <w:trPr>
          <w:cantSplit/>
        </w:trPr>
        <w:tc>
          <w:tcPr>
            <w:tcW w:type="dxa" w:w="28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광고 노출률</w:t>
            </w:r>
          </w:p>
        </w:tc>
        <w:tc>
          <w:tcPr>
            <w:tcW w:type="dxa" w:w="71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미국 상업성 표본·Free·Go가 붙었는가</w:t>
            </w:r>
          </w:p>
        </w:tc>
      </w:tr>
      <w:tr>
        <w:trPr>
          <w:cantSplit/>
        </w:trPr>
        <w:tc>
          <w:tcPr>
            <w:tcW w:type="dxa" w:w="28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$3~$5</w:t>
            </w:r>
          </w:p>
        </w:tc>
        <w:tc>
          <w:tcPr>
            <w:tcW w:type="dxa" w:w="71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권장 최대 입찰가인가</w:t>
            </w:r>
          </w:p>
        </w:tc>
      </w:tr>
      <w:tr>
        <w:trPr>
          <w:cantSplit/>
        </w:trPr>
        <w:tc>
          <w:tcPr>
            <w:tcW w:type="dxa" w:w="28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SDD 무게</w:t>
            </w:r>
          </w:p>
        </w:tc>
        <w:tc>
          <w:tcPr>
            <w:tcW w:type="dxa" w:w="71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90% 경량화가 아니라 무게의 90%인가</w:t>
            </w:r>
          </w:p>
        </w:tc>
      </w:tr>
      <w:tr>
        <w:trPr>
          <w:cantSplit/>
        </w:trPr>
        <w:tc>
          <w:tcPr>
            <w:tcW w:type="dxa" w:w="28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SDD 5,000대</w:t>
            </w:r>
          </w:p>
        </w:tc>
        <w:tc>
          <w:tcPr>
            <w:tcW w:type="dxa" w:w="71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목표·추진이지 확정 PO가 아닌가</w:t>
            </w:r>
          </w:p>
        </w:tc>
      </w:tr>
      <w:tr>
        <w:trPr>
          <w:cantSplit/>
        </w:trPr>
        <w:tc>
          <w:tcPr>
            <w:tcW w:type="dxa" w:w="28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Apple–CXMT</w:t>
            </w:r>
          </w:p>
        </w:tc>
        <w:tc>
          <w:tcPr>
            <w:tcW w:type="dxa" w:w="71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루머·60% Plausible로 썼는가</w:t>
            </w:r>
          </w:p>
        </w:tc>
      </w:tr>
      <w:tr>
        <w:trPr>
          <w:cantSplit/>
        </w:trPr>
        <w:tc>
          <w:tcPr>
            <w:tcW w:type="dxa" w:w="28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베선트 풋</w:t>
            </w:r>
          </w:p>
        </w:tc>
        <w:tc>
          <w:tcPr>
            <w:tcW w:type="dxa" w:w="71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QE가 아니라고 썼는가</w:t>
            </w:r>
          </w:p>
        </w:tc>
      </w:tr>
      <w:tr>
        <w:trPr>
          <w:cantSplit/>
        </w:trPr>
        <w:tc>
          <w:tcPr>
            <w:tcW w:type="dxa" w:w="28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금융억압</w:t>
            </w:r>
          </w:p>
        </w:tc>
        <w:tc>
          <w:tcPr>
            <w:tcW w:type="dxa" w:w="71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수년 스케치이지 이번 주 매수 이유가 아닌가</w:t>
            </w:r>
          </w:p>
        </w:tc>
      </w:tr>
      <w:tr>
        <w:trPr>
          <w:cantSplit/>
        </w:trPr>
        <w:tc>
          <w:tcPr>
            <w:tcW w:type="dxa" w:w="28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세션 금리</w:t>
            </w:r>
          </w:p>
        </w:tc>
        <w:tc>
          <w:tcPr>
            <w:tcW w:type="dxa" w:w="71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[방송] 태그가 붙었는가</w:t>
            </w:r>
          </w:p>
        </w:tc>
      </w:tr>
      <w:tr>
        <w:trPr>
          <w:cantSplit/>
        </w:trPr>
        <w:tc>
          <w:tcPr>
            <w:tcW w:type="dxa" w:w="28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소프트뱅크 큰 숫자</w:t>
            </w:r>
          </w:p>
        </w:tc>
        <w:tc>
          <w:tcPr>
            <w:tcW w:type="dxa" w:w="71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$60B+만 [확인], 나머지 [방송]인가</w:t>
            </w:r>
          </w:p>
        </w:tc>
      </w:tr>
      <w:tr>
        <w:trPr>
          <w:cantSplit/>
        </w:trPr>
        <w:tc>
          <w:tcPr>
            <w:tcW w:type="dxa" w:w="28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매수·매도</w:t>
            </w:r>
          </w:p>
        </w:tc>
        <w:tc>
          <w:tcPr>
            <w:tcW w:type="dxa" w:w="71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추천 문장이 없는가</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A.  </w:t>
      </w:r>
      <w:r>
        <w:rPr>
          <w:rFonts w:ascii="맑은 고딕" w:hAnsi="맑은 고딕" w:eastAsia="맑은 고딕"/>
          <w:b/>
          <w:i w:val="0"/>
          <w:color w:val="0F2043"/>
          <w:sz w:val="32"/>
        </w:rPr>
        <w:t>부록. 출처와 용어</w:t>
      </w:r>
    </w:p>
    <w:p>
      <w:pPr>
        <w:spacing w:before="200" w:after="80"/>
      </w:pPr>
      <w:r>
        <w:rPr>
          <w:rFonts w:ascii="맑은 고딕" w:hAnsi="맑은 고딕" w:eastAsia="맑은 고딕"/>
          <w:b/>
          <w:i w:val="0"/>
          <w:color w:val="1E407C"/>
          <w:sz w:val="26"/>
        </w:rPr>
        <w:t>A-1. [확인] 주요 출처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제공 PDF: lectures/sources/20260825_market_strategy_report_korean_font_fixed.pdf — 정치 2×2, 신호판, 조건부 배분, 텍사스 DC 양면의 원 골격.</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U.S. Treasury, 2026-08-19, SB0607 — 장기 명목 바이백 회당 최대 $2B → 최소 $4B, 9/9~11/4.</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NVIDIA IR — FY27 2Q 공식 콜 2026-08-26 14:00 PT = 08-27 06:00 KST.</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CNBC / Bloomberg, 2026-08-20 — 베선트, 회당 $4B 초과 가능. TGA 약 $950B~$1T, 바이백 재원 가능.</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Treasury Combined Statement FY2025 — 순이자 $970.4B, 국방 $916.6B.</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Hoover Institution — Ferguson’s Law. 이자 &gt; 국방이면 강대국 지위 위험.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NVIDIA 가이던스·컨센서스 집계 — FY27 Q2 $91.0B ±2%, 스트리트 ~$91.9~92.1B(+97%), Q3 ~$103~103.8B, 마진 ~75%. 발표 8/26 장 마감 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Needham, 2026-08-24 — SKHY 목표주가 $220. Rosenblatt — NVDA 목표주가 $325.</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SoftBank Group, 2026-08-24 — 70회 무담보사채 1조 엔, 7년, 4.30~4.90%, 9/4 가격결정. OpenAI 약정 $60B+.</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SK하이닉스 공시, 2026-08-19 — 40조 자사주 취득·전량소각, FCF 50% 이상.</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삼성전자 공시·연합뉴스, 2026-08-21 — 2026 환원 90~110조, 3Q 현금배당 ~30조(10월), 잔여 2027년 1월.</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Bloomberg → Reuters, 2026-08-22 — NVIDIA AI 칩 탑재 서버 가격, 많은 경우 15% 이상. 공식 확인 없음.</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CNBC / Quartz, 2026-08-20 — 마이크론 CEO, 데이터센터 요구량 ≈ commit 가능 물량의 1.5배.</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SE Ranking — AI Mode 29.45%(2026-06-30), ChatGPT 25.94%(2026-07-23), 미국 상업성 표본.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OpenAI Help Center — CPC 권장 최대 입찰가 $3~$5.</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헤럴드경제, 2026-07 — 코스피 7월 월간 약 −28.9%, 고점 대비 약 −33.9%, 외국인 순매도 약 17.9조.</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메리츠증권, 2026-08-24 — ABF 고사양 기판 병목, 삼성전기 증설.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미래에셋·iM증권 — 로보티즈 P/S 42.3배, 에스피지 2029E EPS × 60배, SDD 본문 무게.</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Wccftech — Apple–CXMT·YMTC 웨이보발 루머, 자체 평가 60% Plausible.</w:t>
      </w:r>
    </w:p>
    <w:p>
      <w:pPr>
        <w:spacing w:before="200" w:after="80"/>
      </w:pPr>
      <w:r>
        <w:rPr>
          <w:rFonts w:ascii="맑은 고딕" w:hAnsi="맑은 고딕" w:eastAsia="맑은 고딕"/>
          <w:b/>
          <w:i w:val="0"/>
          <w:color w:val="1E407C"/>
          <w:sz w:val="26"/>
        </w:rPr>
        <w:t>A-2. [방송] · [가정] · [역산]</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[방송] 세션 프린트 10년 4.704%, 30년 5.234%, WTI $85.01, MU/SNDK/SKHY 일간 등락.</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[방송] “haven't bought a single one yet”, 닉스 첫날 일 ~65만 주, 일본 실제 이자 0.6~0.7%·적자 GDP 7%.</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[방송] 앤트로픽 ARR $65B vs $85B, DC 수익률, PF 허가 1,000건+, Warsh 원론 예상.</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[방송/부분] 소프트뱅크·OpenAI 추가 $300B / $646B / 13% / 3월 $40B 브리지.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[가정] PCE +3.6%/코어 +3.3%, 코어 3.4%→9월 인상 40%대, 기본 코스피 7,000~7,200, 최악 30년 5.4%·6,000.</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[가정] 금융억압의 다년 경로, 토큰 가격이 전가를 닫는 지점, ABF 면적 3~5배.</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[역산] 서버 15% 인상 시 고정 CAPEX 하 대수 −13.0%. 광고매출 골격. MCP 중량 분해는 8/24 레포트.</w:t>
      </w:r>
    </w:p>
    <w:p>
      <w:pPr>
        <w:spacing w:before="200" w:after="80"/>
      </w:pPr>
      <w:r>
        <w:rPr>
          <w:rFonts w:ascii="맑은 고딕" w:hAnsi="맑은 고딕" w:eastAsia="맑은 고딕"/>
          <w:b/>
          <w:i w:val="0"/>
          <w:color w:val="1E407C"/>
          <w:sz w:val="26"/>
        </w:rPr>
        <w:t>A-3. 용어</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38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용어</w:t>
            </w:r>
          </w:p>
        </w:tc>
        <w:tc>
          <w:tcPr>
            <w:tcW w:type="dxa" w:w="759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 레포트에서의 의미</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베선트 풋</w:t>
            </w:r>
          </w:p>
        </w:tc>
        <w:tc>
          <w:tcPr>
            <w:tcW w:type="dxa" w:w="759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장기금리 급등을 재무부 바이백·신호로 막겠다는 시장 해석. QE 아님</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TGA</w:t>
            </w:r>
          </w:p>
        </w:tc>
        <w:tc>
          <w:tcPr>
            <w:tcW w:type="dxa" w:w="759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Treasury General Account. 재무부의 연준 현금 계좌</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Ferguson’s Law</w:t>
            </w:r>
          </w:p>
        </w:tc>
        <w:tc>
          <w:tcPr>
            <w:tcW w:type="dxa" w:w="759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이자 지출이 국방을 넘으면 강대국 지위가 위험해진다는 명제</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금융억압</w:t>
            </w:r>
          </w:p>
        </w:tc>
        <w:tc>
          <w:tcPr>
            <w:tcW w:type="dxa" w:w="759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명목금리를 물가보다 낮게 둬 실질금리를 음수로 만드는 다년 경로</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서버 15%</w:t>
            </w:r>
          </w:p>
        </w:tc>
        <w:tc>
          <w:tcPr>
            <w:tcW w:type="dxa" w:w="759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NVIDIA AI 칩 탑재 서버 시스템 가격 보도. GPU ASP 아님</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최대 CPC 입찰가</w:t>
            </w:r>
          </w:p>
        </w:tc>
        <w:tc>
          <w:tcPr>
            <w:tcW w:type="dxa" w:w="759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광고주가 설정하는 클릭당 지불 상한. 실효 CPC와 다름</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조정 FCF</w:t>
            </w:r>
          </w:p>
        </w:tc>
        <w:tc>
          <w:tcPr>
            <w:tcW w:type="dxa" w:w="759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삼성 환원 기준. 기본 FCF − LTA 선수금 − 성과급 관련</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금산법 10%</w:t>
            </w:r>
          </w:p>
        </w:tc>
        <w:tc>
          <w:tcPr>
            <w:tcW w:type="dxa" w:w="759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금융회사의 비금융 계열 소유 한도. 삼성 소각을 제약하는 해석</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ABF</w:t>
            </w:r>
          </w:p>
        </w:tc>
        <w:tc>
          <w:tcPr>
            <w:tcW w:type="dxa" w:w="759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Ajinomoto Build-up Film. 고사양 반도체 기판 핵심 소재·공정</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QDD / SDD</w:t>
            </w:r>
          </w:p>
        </w:tc>
        <w:tc>
          <w:tcPr>
            <w:tcW w:type="dxa" w:w="759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로보티즈 감속구동 / 에스피지 로봇 감속구동 모듈</w:t>
            </w:r>
          </w:p>
        </w:tc>
      </w:tr>
    </w:tbl>
    <w:p>
      <w:pPr>
        <w:spacing w:after="160" w:before="40"/>
      </w:pPr>
    </w:p>
    <w:p>
      <w:pPr>
        <w:spacing w:after="120" w:before="0" w:line="283" w:lineRule="auto"/>
        <w:jc w:val="left"/>
      </w:pPr>
      <w:r>
        <w:rPr>
          <w:rFonts w:ascii="맑은 고딕" w:hAnsi="맑은 고딕" w:eastAsia="맑은 고딕"/>
          <w:b w:val="0"/>
          <w:i w:val="0"/>
          <w:color w:val="4B5563"/>
          <w:sz w:val="20"/>
        </w:rPr>
        <w:t>이 문서는 공개 보도와 공시, 증권사 리포트를 재구성한 강의·검증 노트다. 특정 종목의 매수·매도를 권유하지 않는다. 숫자와 시나리오는 공개 보도·공시 기준이며 매수·매도 추천이 아니다.</w:t>
      </w:r>
    </w:p>
    <w:sectPr w:rsidR="00FC693F" w:rsidRPr="0006063C" w:rsidSect="00034616">
      <w:headerReference w:type="default" r:id="rId9"/>
      <w:footerReference w:type="default" r:id="rId10"/>
      <w:pgSz w:w="11906" w:h="16838"/>
      <w:pgMar w:top="907" w:right="907" w:bottom="907"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i w:val="0"/>
        <w:color w:val="4B5563"/>
        <w:sz w:val="16"/>
      </w:rPr>
      <w:t xml:space="preserve">공개 보도·공시 교차검증  ·  [확인]/[방송]/[가정]/[역산]  ·  매수·매도 추천 아님  ·  </w:t>
    </w:r>
    <w:fldSimple w:instr=" PAGE ">
      <w:r>
        <w:rPr>
          <w:sz w:val="16"/>
          <w:color w:val="4B5563"/>
          <w:rFonts w:ascii="맑은 고딕" w:hAnsi="맑은 고딕" w:eastAsia="맑은 고딕"/>
        </w:rPr>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i w:val="0"/>
        <w:color w:val="4B5563"/>
        <w:sz w:val="17"/>
      </w:rPr>
      <w:t>2026.8.25 상세 통합 레포트  ·  금리 · 금융억압 · AI 전가 · 한국 수급 · 로봇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pPr>
    <w:rPr>
      <w:rFonts w:ascii="맑은 고딕" w:hAnsi="맑은 고딕" w:eastAsia="맑은 고딕"/>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8월 25일 상세 통합 레포트 (금리, 금융억압, AI 전가, 한국 수급, 로봇)</dc:title>
  <dc:subject>금리 급등, 베선트 풋, 금융억압, AI 전가, 한국 환원·수급, 로봇</dc:subject>
  <dc:creator>준혁</dc:creator>
  <cp:keywords/>
  <dc:description>generated by python-docx</dc:description>
  <cp:lastModifiedBy/>
  <cp:revision>1</cp:revision>
  <dcterms:created xsi:type="dcterms:W3CDTF">2013-12-23T23:15:00Z</dcterms:created>
  <dcterms:modified xsi:type="dcterms:W3CDTF">2013-12-23T23:15:00Z</dcterms:modified>
  <cp:category/>
</cp:coreProperties>
</file>