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 w:line="278" w:lineRule="auto"/>
        <w:jc w:val="center"/>
      </w:pPr>
      <w:r>
        <w:rPr>
          <w:rFonts w:ascii="맑은 고딕" w:hAnsi="맑은 고딕" w:eastAsia="맑은 고딕"/>
          <w:b w:val="0"/>
          <w:i w:val="0"/>
          <w:color w:val="4B5563"/>
          <w:sz w:val="21"/>
        </w:rPr>
        <w:t>2026. 8. 19.  ·  Quick 코멘트 종합  ·  시각화 보고서</w:t>
      </w:r>
    </w:p>
    <w:p>
      <w:pPr>
        <w:spacing w:after="40" w:before="0" w:line="278" w:lineRule="auto"/>
        <w:jc w:val="center"/>
      </w:pPr>
      <w:r>
        <w:rPr>
          <w:rFonts w:ascii="맑은 고딕" w:hAnsi="맑은 고딕" w:eastAsia="맑은 고딕"/>
          <w:b/>
          <w:i w:val="0"/>
          <w:color w:val="B8943A"/>
          <w:sz w:val="24"/>
        </w:rPr>
        <w:t>MARKET BRIEFING</w:t>
      </w:r>
    </w:p>
    <w:p>
      <w:pPr>
        <w:spacing w:after="40" w:before="0" w:line="278" w:lineRule="auto"/>
        <w:jc w:val="center"/>
      </w:pPr>
      <w:r>
        <w:rPr>
          <w:rFonts w:ascii="맑은 고딕" w:hAnsi="맑은 고딕" w:eastAsia="맑은 고딕"/>
          <w:b/>
          <w:i w:val="0"/>
          <w:color w:val="0F2043"/>
          <w:sz w:val="44"/>
        </w:rPr>
        <w:t>8월 19일 시장 브리핑</w:t>
      </w:r>
    </w:p>
    <w:p>
      <w:pPr>
        <w:spacing w:after="160" w:before="0" w:line="278" w:lineRule="auto"/>
        <w:jc w:val="center"/>
      </w:pPr>
      <w:r>
        <w:rPr>
          <w:rFonts w:ascii="맑은 고딕" w:hAnsi="맑은 고딕" w:eastAsia="맑은 고딕"/>
          <w:b/>
          <w:i w:val="0"/>
          <w:color w:val="1E407C"/>
          <w:sz w:val="26"/>
        </w:rPr>
        <w:t>환율 · 주주환원 · HBM 논쟁 · 매크로 · 개별 종목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EEF2F8"/>
            <w:tcBorders>
              <w:top w:val="nil"/>
              <w:left w:val="single" w:sz="28" w:space="0" w:color="0F2043"/>
              <w:bottom w:val="nil"/>
              <w:right w:val="nil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i w:val="0"/>
                <w:color w:val="0F2043"/>
                <w:sz w:val="20"/>
              </w:rPr>
              <w:t>오늘 한 장으로 보면</w:t>
            </w:r>
          </w:p>
          <w:p>
            <w:pPr>
              <w:spacing w:after="2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0"/>
              </w:rPr>
              <w:t>단기 축 = 유가 → 10년물 금리 → AI/반도체 밸류에이션. 10년물 4.7% 이하 안정이 핵심.</w:t>
            </w:r>
          </w:p>
          <w:p>
            <w:pPr>
              <w:spacing w:after="2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0"/>
              </w:rPr>
              <w:t>국내 축 = SK하이닉스 40조 자사주 소각 + FCF 50% 이상 환원. 삼성 주주환원 기대 동반.</w:t>
            </w:r>
          </w:p>
          <w:p>
            <w:pPr>
              <w:spacing w:after="2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0"/>
              </w:rPr>
              <w:t>구조 축 = HBM 고가격은 26~28 초과이익이지만, 이후 효율화·대체 유인을 키우는 양날의 검.</w:t>
            </w:r>
          </w:p>
          <w:p>
            <w:pPr>
              <w:spacing w:after="2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0"/>
              </w:rPr>
              <w:t>환율 축 = 1,400원 하회는 국내 달러공급이 주도. 추가 하락은 달러인덱스·국내수급의 함수.</w:t>
            </w:r>
          </w:p>
        </w:tc>
      </w:tr>
    </w:tbl>
    <w:p>
      <w:pPr>
        <w:spacing w:after="80"/>
      </w:pP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1E407C"/>
          <w:sz w:val="25"/>
        </w:rPr>
        <w:t>보고서 구성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113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파트</w:t>
            </w:r>
          </w:p>
        </w:tc>
        <w:tc>
          <w:tcPr>
            <w:tcW w:type="dxa" w:w="3685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주제</w:t>
            </w:r>
          </w:p>
        </w:tc>
        <w:tc>
          <w:tcPr>
            <w:tcW w:type="dxa" w:w="4819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핵심 차트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368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매크로 — 전쟁·유가·금리</w:t>
            </w:r>
          </w:p>
        </w:tc>
        <w:tc>
          <w:tcPr>
            <w:tcW w:type="dxa" w:w="481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전달경로 · 금리/유가 게이지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368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자금 피벗 — AI→헬스케어</w:t>
            </w:r>
          </w:p>
        </w:tc>
        <w:tc>
          <w:tcPr>
            <w:tcW w:type="dxa" w:w="481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섹터 로테이션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3</w:t>
            </w:r>
          </w:p>
        </w:tc>
        <w:tc>
          <w:tcPr>
            <w:tcW w:type="dxa" w:w="368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SK하이닉스 주주환원</w:t>
            </w:r>
          </w:p>
        </w:tc>
        <w:tc>
          <w:tcPr>
            <w:tcW w:type="dxa" w:w="481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FCF·환원 구조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368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메모리 밸류에이션</w:t>
            </w:r>
          </w:p>
        </w:tc>
        <w:tc>
          <w:tcPr>
            <w:tcW w:type="dxa" w:w="481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Peer PER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5</w:t>
            </w:r>
          </w:p>
        </w:tc>
        <w:tc>
          <w:tcPr>
            <w:tcW w:type="dxa" w:w="368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환율 — 1,400 하회 해설</w:t>
            </w:r>
          </w:p>
        </w:tc>
        <w:tc>
          <w:tcPr>
            <w:tcW w:type="dxa" w:w="481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민감도 · 수급 루프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6</w:t>
            </w:r>
          </w:p>
        </w:tc>
        <w:tc>
          <w:tcPr>
            <w:tcW w:type="dxa" w:w="368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HBM 논쟁 (우드·톰슨)</w:t>
            </w:r>
          </w:p>
        </w:tc>
        <w:tc>
          <w:tcPr>
            <w:tcW w:type="dxa" w:w="481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수요식 · 메모리 계층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7</w:t>
            </w:r>
          </w:p>
        </w:tc>
        <w:tc>
          <w:tcPr>
            <w:tcW w:type="dxa" w:w="368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반도체 뉴스플로우</w:t>
            </w:r>
          </w:p>
        </w:tc>
        <w:tc>
          <w:tcPr>
            <w:tcW w:type="dxa" w:w="481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파운드리·마벨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8</w:t>
            </w:r>
          </w:p>
        </w:tc>
        <w:tc>
          <w:tcPr>
            <w:tcW w:type="dxa" w:w="368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개별 아이디어</w:t>
            </w:r>
          </w:p>
        </w:tc>
        <w:tc>
          <w:tcPr>
            <w:tcW w:type="dxa" w:w="481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이수·기가비스 등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9</w:t>
            </w:r>
          </w:p>
        </w:tc>
        <w:tc>
          <w:tcPr>
            <w:tcW w:type="dxa" w:w="368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워치리스트</w:t>
            </w:r>
          </w:p>
        </w:tc>
        <w:tc>
          <w:tcPr>
            <w:tcW w:type="dxa" w:w="481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6대 변수 대시보드</w:t>
            </w:r>
          </w:p>
        </w:tc>
      </w:tr>
    </w:tbl>
    <w:p>
      <w:pPr>
        <w:spacing w:after="120"/>
      </w:pPr>
    </w:p>
    <w:p>
      <w:pPr>
        <w:spacing w:before="240" w:after="120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0"/>
        </w:rPr>
        <w:t xml:space="preserve">1.  </w:t>
      </w:r>
      <w:r>
        <w:rPr>
          <w:rFonts w:ascii="맑은 고딕" w:hAnsi="맑은 고딕" w:eastAsia="맑은 고딕"/>
          <w:b/>
          <w:i w:val="0"/>
          <w:color w:val="0F2043"/>
          <w:sz w:val="30"/>
        </w:rPr>
        <w:t>매크로 — 전쟁보다 금리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EEF2F8"/>
            <w:tcBorders>
              <w:top w:val="nil"/>
              <w:left w:val="single" w:sz="28" w:space="0" w:color="0F2043"/>
              <w:bottom w:val="nil"/>
              <w:right w:val="nil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i w:val="0"/>
                <w:color w:val="0F2043"/>
                <w:sz w:val="20"/>
              </w:rPr>
              <w:t>한 줄 결론</w:t>
            </w:r>
          </w:p>
          <w:p>
            <w:pPr>
              <w:spacing w:after="2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0"/>
              </w:rPr>
              <w:t>미·이란 불확실성 → 유가↑ → 인플레 우려 → 미 국채금리↑ → 고PER AI/반도체 압박.</w:t>
            </w:r>
          </w:p>
          <w:p>
            <w:pPr>
              <w:spacing w:after="2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0"/>
              </w:rPr>
              <w:t>AI 수요가 갑자기 꺾인 것이 아니라, 밸류에이션 할인율 충격에 가깝다.</w:t>
            </w:r>
          </w:p>
        </w:tc>
      </w:tr>
    </w:tbl>
    <w:p>
      <w:pPr>
        <w:spacing w:after="80"/>
      </w:pP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852160" cy="18118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acro_cha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811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852160" cy="17021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rate_gau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702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852160" cy="159684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oil_gau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596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1E407C"/>
          <w:sz w:val="25"/>
        </w:rPr>
        <w:t>임계값 요약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198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변수</w:t>
            </w:r>
          </w:p>
        </w:tc>
        <w:tc>
          <w:tcPr>
            <w:tcW w:type="dxa" w:w="3685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완화 신호</w:t>
            </w:r>
          </w:p>
        </w:tc>
        <w:tc>
          <w:tcPr>
            <w:tcW w:type="dxa" w:w="3969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위험 신호</w:t>
            </w:r>
          </w:p>
        </w:tc>
      </w:tr>
      <w:tr>
        <w:trPr>
          <w:cantSplit/>
        </w:trPr>
        <w:tc>
          <w:tcPr>
            <w:tcW w:type="dxa" w:w="198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브렌트 유가</w:t>
            </w:r>
          </w:p>
        </w:tc>
        <w:tc>
          <w:tcPr>
            <w:tcW w:type="dxa" w:w="368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$90 전후 안정</w:t>
            </w:r>
          </w:p>
        </w:tc>
        <w:tc>
          <w:tcPr>
            <w:tcW w:type="dxa" w:w="396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$100 이상 — 인플레·금리 악순환</w:t>
            </w:r>
          </w:p>
        </w:tc>
      </w:tr>
      <w:tr>
        <w:trPr>
          <w:cantSplit/>
        </w:trPr>
        <w:tc>
          <w:tcPr>
            <w:tcW w:type="dxa" w:w="198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미 10년물</w:t>
            </w:r>
          </w:p>
        </w:tc>
        <w:tc>
          <w:tcPr>
            <w:tcW w:type="dxa" w:w="368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4.7% 이하 안정</w:t>
            </w:r>
          </w:p>
        </w:tc>
        <w:tc>
          <w:tcPr>
            <w:tcW w:type="dxa" w:w="396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5% 돌파·고착 — 위험자산 회피</w:t>
            </w:r>
          </w:p>
        </w:tc>
      </w:tr>
      <w:tr>
        <w:trPr>
          <w:cantSplit/>
        </w:trPr>
        <w:tc>
          <w:tcPr>
            <w:tcW w:type="dxa" w:w="198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미 30년물</w:t>
            </w:r>
          </w:p>
        </w:tc>
        <w:tc>
          <w:tcPr>
            <w:tcW w:type="dxa" w:w="368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고점 후 진정</w:t>
            </w:r>
          </w:p>
        </w:tc>
        <w:tc>
          <w:tcPr>
            <w:tcW w:type="dxa" w:w="3969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5.3%대 재돌파 시 심리 악화</w:t>
            </w:r>
          </w:p>
        </w:tc>
      </w:tr>
      <w:tr>
        <w:trPr>
          <w:cantSplit/>
        </w:trPr>
        <w:tc>
          <w:tcPr>
            <w:tcW w:type="dxa" w:w="198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USD/JPY</w:t>
            </w:r>
          </w:p>
        </w:tc>
        <w:tc>
          <w:tcPr>
            <w:tcW w:type="dxa" w:w="368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157~159 안정/반등</w:t>
            </w:r>
          </w:p>
        </w:tc>
        <w:tc>
          <w:tcPr>
            <w:tcW w:type="dxa" w:w="3969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150대 급락 — 엔캐리 청산 의심</w:t>
            </w:r>
          </w:p>
        </w:tc>
      </w:tr>
    </w:tbl>
    <w:p>
      <w:pPr>
        <w:spacing w:after="120"/>
      </w:pP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1E407C"/>
          <w:sz w:val="25"/>
        </w:rPr>
        <w:t>무게 중심 삼각형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308235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acro_triang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082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ind w:left="283" w:hanging="181"/>
      </w:pPr>
      <w:r>
        <w:rPr>
          <w:rFonts w:ascii="맑은 고딕" w:hAnsi="맑은 고딕" w:eastAsia="맑은 고딕"/>
          <w:b w:val="0"/>
          <w:i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1"/>
        </w:rPr>
        <w:t>토큰 수요 확대 → AI 투자 GO는 웬만한 금리 상승에도 근본 궤도가 바뀌기 어렵다.</w:t>
      </w:r>
    </w:p>
    <w:p>
      <w:pPr>
        <w:spacing w:after="40"/>
        <w:ind w:left="283" w:hanging="181"/>
      </w:pPr>
      <w:r>
        <w:rPr>
          <w:rFonts w:ascii="맑은 고딕" w:hAnsi="맑은 고딕" w:eastAsia="맑은 고딕"/>
          <w:b w:val="0"/>
          <w:i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1"/>
        </w:rPr>
        <w:t>다만 안정화 전까지는 채권시장 의견이 더 힘을 얻는 것이 현실.</w:t>
      </w:r>
    </w:p>
    <w:p>
      <w:pPr>
        <w:spacing w:after="40"/>
        <w:ind w:left="283" w:hanging="181"/>
      </w:pPr>
      <w:r>
        <w:rPr>
          <w:rFonts w:ascii="맑은 고딕" w:hAnsi="맑은 고딕" w:eastAsia="맑은 고딕"/>
          <w:b w:val="0"/>
          <w:i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1"/>
        </w:rPr>
        <w:t>재무부 장기채 바이백 2배 확대 = 단기 방어선. 재정적자·인플레·AI 자금수요는 미해결.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E8F1FB"/>
            <w:tcBorders>
              <w:top w:val="nil"/>
              <w:left w:val="single" w:sz="28" w:space="0" w:color="1E407C"/>
              <w:bottom w:val="nil"/>
              <w:right w:val="nil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i w:val="0"/>
                <w:color w:val="1E407C"/>
                <w:sz w:val="20"/>
              </w:rPr>
              <w:t>재무부 바이백의 의미</w:t>
            </w:r>
          </w:p>
          <w:p>
            <w:pPr>
              <w:spacing w:after="2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0"/>
              </w:rPr>
              <w:t>장기금리 급등 속도↓ · 성장주 할인율에 단기 호재.</w:t>
            </w:r>
          </w:p>
          <w:p>
            <w:pPr>
              <w:spacing w:after="2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0"/>
              </w:rPr>
              <w:t>근본 해결 아님: 재정적자↑ / 인플레 / AI CAPEX 회사채 수요는 그대로.</w:t>
            </w:r>
          </w:p>
          <w:p>
            <w:pPr>
              <w:spacing w:after="2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0"/>
              </w:rPr>
              <w:t>Fed 의사록은 매파적이나, 당장은 Treasury 영향력이 더 크게 작용.</w:t>
            </w:r>
          </w:p>
        </w:tc>
      </w:tr>
    </w:tbl>
    <w:p>
      <w:pPr>
        <w:spacing w:after="80"/>
      </w:pPr>
    </w:p>
    <w:p>
      <w:pPr>
        <w:spacing w:before="240" w:after="120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0"/>
        </w:rPr>
        <w:t xml:space="preserve">2.  </w:t>
      </w:r>
      <w:r>
        <w:rPr>
          <w:rFonts w:ascii="맑은 고딕" w:hAnsi="맑은 고딕" w:eastAsia="맑은 고딕"/>
          <w:b/>
          <w:i w:val="0"/>
          <w:color w:val="0F2043"/>
          <w:sz w:val="30"/>
        </w:rPr>
        <w:t>자금 피벗 — 금리↓인데 기술주↓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852160" cy="21715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sector_rot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171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ind w:left="283" w:hanging="181"/>
      </w:pPr>
      <w:r>
        <w:rPr>
          <w:rFonts w:ascii="맑은 고딕" w:hAnsi="맑은 고딕" w:eastAsia="맑은 고딕"/>
          <w:b w:val="0"/>
          <w:i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1"/>
        </w:rPr>
        <w:t>공식 깨짐: 장기금리↓ → 기술주↑ 가 이번에는 작동하지 않음.</w:t>
      </w:r>
    </w:p>
    <w:p>
      <w:pPr>
        <w:spacing w:after="40"/>
        <w:ind w:left="283" w:hanging="181"/>
      </w:pPr>
      <w:r>
        <w:rPr>
          <w:rFonts w:ascii="맑은 고딕" w:hAnsi="맑은 고딕" w:eastAsia="맑은 고딕"/>
          <w:b w:val="0"/>
          <w:i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1"/>
        </w:rPr>
        <w:t>모더나 암백신 3상 성공 → 헬스케어로 성장주 자금 이동.</w:t>
      </w:r>
    </w:p>
    <w:p>
      <w:pPr>
        <w:spacing w:after="40"/>
        <w:ind w:left="283" w:hanging="181"/>
      </w:pPr>
      <w:r>
        <w:rPr>
          <w:rFonts w:ascii="맑은 고딕" w:hAnsi="맑은 고딕" w:eastAsia="맑은 고딕"/>
          <w:b w:val="0"/>
          <w:i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1"/>
        </w:rPr>
        <w:t>한국 반도체 투자자: '금리 하락'만 보고 안도하기보다 AI·반도체 자금 이탈 지속 여부를 확인.</w:t>
      </w:r>
    </w:p>
    <w:p>
      <w:pPr>
        <w:spacing w:after="40"/>
        <w:ind w:left="283" w:hanging="181"/>
      </w:pPr>
      <w:r>
        <w:rPr>
          <w:rFonts w:ascii="맑은 고딕" w:hAnsi="맑은 고딕" w:eastAsia="맑은 고딕"/>
          <w:b w:val="0"/>
          <w:i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1"/>
        </w:rPr>
        <w:t>다음 관전: 8/26 엔비디아 실적 — AI 심리 재강화 vs 로테이션 지속.</w:t>
      </w:r>
    </w:p>
    <w:p>
      <w:pPr>
        <w:spacing w:before="240" w:after="120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0"/>
        </w:rPr>
        <w:t xml:space="preserve">3.  </w:t>
      </w:r>
      <w:r>
        <w:rPr>
          <w:rFonts w:ascii="맑은 고딕" w:hAnsi="맑은 고딕" w:eastAsia="맑은 고딕"/>
          <w:b/>
          <w:i w:val="0"/>
          <w:color w:val="0F2043"/>
          <w:sz w:val="30"/>
        </w:rPr>
        <w:t>SK하이닉스 주주환원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E8F5E9"/>
            <w:tcBorders>
              <w:top w:val="nil"/>
              <w:left w:val="single" w:sz="28" w:space="0" w:color="166534"/>
              <w:bottom w:val="nil"/>
              <w:right w:val="nil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i w:val="0"/>
                <w:color w:val="166534"/>
                <w:sz w:val="20"/>
              </w:rPr>
              <w:t>핵심 숫자</w:t>
            </w:r>
          </w:p>
          <w:p>
            <w:pPr>
              <w:spacing w:after="2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0"/>
              </w:rPr>
              <w:t>40조원 자사주 취득·전량 소각 (발행주식 ~3.3%, 8/20~약 3개월).</w:t>
            </w:r>
          </w:p>
          <w:p>
            <w:pPr>
              <w:spacing w:after="2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0"/>
              </w:rPr>
              <w:t>2025~27 누적 FCF의 '50% 이상' 환원으로 상향 (기존 50% 범위 내 → 초과 목표).</w:t>
            </w:r>
          </w:p>
          <w:p>
            <w:pPr>
              <w:spacing w:after="2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0"/>
              </w:rPr>
              <w:t>이미 40조 확정 → 단순 50% 기준만으로도 추가 ~152.5조 이상 여지.</w:t>
            </w:r>
          </w:p>
          <w:p>
            <w:pPr>
              <w:spacing w:after="2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0"/>
              </w:rPr>
              <w:t>구체 추가 규모·방식은 3Q26 실적발표 때 안내 예정.</w:t>
            </w:r>
          </w:p>
        </w:tc>
      </w:tr>
    </w:tbl>
    <w:p>
      <w:pPr>
        <w:spacing w:after="80"/>
      </w:pP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852160" cy="237305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kh_fcf_retur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73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1E407C"/>
          <w:sz w:val="25"/>
        </w:rPr>
        <w:t>해석 시 주의</w:t>
      </w:r>
    </w:p>
    <w:p>
      <w:pPr>
        <w:spacing w:after="40"/>
        <w:ind w:left="283" w:hanging="181"/>
      </w:pPr>
      <w:r>
        <w:rPr>
          <w:rFonts w:ascii="맑은 고딕" w:hAnsi="맑은 고딕" w:eastAsia="맑은 고딕"/>
          <w:b w:val="0"/>
          <w:i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1"/>
        </w:rPr>
        <w:t>192.5조 = 2027년에 한꺼번에 지급이 아님. 프로그램 기간(25~27) 누적 환원.</w:t>
      </w:r>
    </w:p>
    <w:p>
      <w:pPr>
        <w:spacing w:after="40"/>
        <w:ind w:left="283" w:hanging="181"/>
      </w:pPr>
      <w:r>
        <w:rPr>
          <w:rFonts w:ascii="맑은 고딕" w:hAnsi="맑은 고딕" w:eastAsia="맑은 고딕"/>
          <w:b w:val="0"/>
          <w:i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1"/>
        </w:rPr>
        <w:t>2028년 102.5조 표는 FCF×50% 참고치일 뿐. 회사 정책상 2028 환원액이 아님.</w:t>
      </w:r>
    </w:p>
    <w:p>
      <w:pPr>
        <w:spacing w:after="40"/>
        <w:ind w:left="283" w:hanging="181"/>
      </w:pPr>
      <w:r>
        <w:rPr>
          <w:rFonts w:ascii="맑은 고딕" w:hAnsi="맑은 고딕" w:eastAsia="맑은 고딕"/>
          <w:b w:val="0"/>
          <w:i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1"/>
        </w:rPr>
        <w:t>회사는 주가 저평가를 명시 → 자본 재배치·주주가치 제고 목적.</w:t>
      </w:r>
    </w:p>
    <w:p>
      <w:pPr>
        <w:spacing w:after="40"/>
        <w:ind w:left="283" w:hanging="181"/>
      </w:pPr>
      <w:r>
        <w:rPr>
          <w:rFonts w:ascii="맑은 고딕" w:hAnsi="맑은 고딕" w:eastAsia="맑은 고딕"/>
          <w:b w:val="0"/>
          <w:i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1"/>
        </w:rPr>
        <w:t>ADR 발행으로 희석된 지분율 → 소각으로 SK스퀘어 지분율을 이전 수준으로 되돌리는 구조.</w:t>
      </w:r>
    </w:p>
    <w:p>
      <w:pPr>
        <w:spacing w:before="60" w:after="120"/>
        <w:jc w:val="center"/>
      </w:pPr>
      <w:r>
        <w:rPr>
          <w:rFonts w:ascii="맑은 고딕" w:hAnsi="맑은 고딕" w:eastAsia="맑은 고딕"/>
          <w:b/>
          <w:i w:val="0"/>
          <w:color w:val="0F2043"/>
          <w:sz w:val="21"/>
        </w:rPr>
        <w:t>순현금 ~69조</w:t>
      </w:r>
      <w:r>
        <w:rPr>
          <w:rFonts w:ascii="맑은 고딕" w:hAnsi="맑은 고딕" w:eastAsia="맑은 고딕"/>
          <w:b/>
          <w:i w:val="0"/>
          <w:color w:val="B8943A"/>
          <w:sz w:val="21"/>
        </w:rPr>
        <w:t xml:space="preserve">  →  </w:t>
      </w:r>
      <w:r>
        <w:rPr>
          <w:rFonts w:ascii="맑은 고딕" w:hAnsi="맑은 고딕" w:eastAsia="맑은 고딕"/>
          <w:b/>
          <w:i w:val="0"/>
          <w:color w:val="0F2043"/>
          <w:sz w:val="21"/>
        </w:rPr>
        <w:t>강력한 FCF</w:t>
      </w:r>
      <w:r>
        <w:rPr>
          <w:rFonts w:ascii="맑은 고딕" w:hAnsi="맑은 고딕" w:eastAsia="맑은 고딕"/>
          <w:b/>
          <w:i w:val="0"/>
          <w:color w:val="B8943A"/>
          <w:sz w:val="21"/>
        </w:rPr>
        <w:t xml:space="preserve">  →  </w:t>
      </w:r>
      <w:r>
        <w:rPr>
          <w:rFonts w:ascii="맑은 고딕" w:hAnsi="맑은 고딕" w:eastAsia="맑은 고딕"/>
          <w:b/>
          <w:i w:val="0"/>
          <w:color w:val="0F2043"/>
          <w:sz w:val="21"/>
        </w:rPr>
        <w:t>40조 소각</w:t>
      </w:r>
      <w:r>
        <w:rPr>
          <w:rFonts w:ascii="맑은 고딕" w:hAnsi="맑은 고딕" w:eastAsia="맑은 고딕"/>
          <w:b/>
          <w:i w:val="0"/>
          <w:color w:val="B8943A"/>
          <w:sz w:val="21"/>
        </w:rPr>
        <w:t xml:space="preserve">  →  </w:t>
      </w:r>
      <w:r>
        <w:rPr>
          <w:rFonts w:ascii="맑은 고딕" w:hAnsi="맑은 고딕" w:eastAsia="맑은 고딕"/>
          <w:b/>
          <w:i w:val="0"/>
          <w:color w:val="0F2043"/>
          <w:sz w:val="21"/>
        </w:rPr>
        <w:t>추가 배당·Buyback</w:t>
      </w:r>
      <w:r>
        <w:rPr>
          <w:rFonts w:ascii="맑은 고딕" w:hAnsi="맑은 고딕" w:eastAsia="맑은 고딕"/>
          <w:b/>
          <w:i w:val="0"/>
          <w:color w:val="B8943A"/>
          <w:sz w:val="21"/>
        </w:rPr>
        <w:t xml:space="preserve">  →  </w:t>
      </w:r>
      <w:r>
        <w:rPr>
          <w:rFonts w:ascii="맑은 고딕" w:hAnsi="맑은 고딕" w:eastAsia="맑은 고딕"/>
          <w:b/>
          <w:i w:val="0"/>
          <w:color w:val="0F2043"/>
          <w:sz w:val="21"/>
        </w:rPr>
        <w:t>밸류 재평가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1E407C"/>
          <w:sz w:val="25"/>
        </w:rPr>
        <w:t>Peer Buyback 맥락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852160" cy="215462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buyback_peer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154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0" w:line="278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1"/>
        </w:rPr>
        <w:t>키옥시아는 단기 집행 완료에도 시황 부진 시 소폭 상승에 그침(비중 이상은 상승). 샌디스크 +20%는 Buyback만의 직접 원인이 아니라 Investor Day 이후 성장률·마진 재평가 + EPS 레버리지로 보는 것이 타당.</w:t>
      </w:r>
    </w:p>
    <w:p>
      <w:pPr>
        <w:spacing w:before="240" w:after="120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0"/>
        </w:rPr>
        <w:t xml:space="preserve">4.  </w:t>
      </w:r>
      <w:r>
        <w:rPr>
          <w:rFonts w:ascii="맑은 고딕" w:hAnsi="맑은 고딕" w:eastAsia="맑은 고딕"/>
          <w:b/>
          <w:i w:val="0"/>
          <w:color w:val="0F2043"/>
          <w:sz w:val="30"/>
        </w:rPr>
        <w:t>메모리 밸류에이션 스냅샷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852160" cy="254134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per_compar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4134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2041"/>
        <w:gridCol w:w="2041"/>
        <w:gridCol w:w="2041"/>
        <w:gridCol w:w="2041"/>
        <w:gridCol w:w="2041"/>
      </w:tblGrid>
      <w:tr>
        <w:trPr>
          <w:cantSplit/>
        </w:trPr>
        <w:tc>
          <w:tcPr>
            <w:tcW w:type="dxa" w:w="204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종목</w:t>
            </w:r>
          </w:p>
        </w:tc>
        <w:tc>
          <w:tcPr>
            <w:tcW w:type="dxa" w:w="181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가격(코멘트)</w:t>
            </w:r>
          </w:p>
        </w:tc>
        <w:tc>
          <w:tcPr>
            <w:tcW w:type="dxa" w:w="1587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26년 PER</w:t>
            </w:r>
          </w:p>
        </w:tc>
        <w:tc>
          <w:tcPr>
            <w:tcW w:type="dxa" w:w="1587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27년 PER</w:t>
            </w:r>
          </w:p>
        </w:tc>
        <w:tc>
          <w:tcPr>
            <w:tcW w:type="dxa" w:w="226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보수 시나리오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SK하이닉스 본주</w:t>
            </w:r>
          </w:p>
        </w:tc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150만원</w:t>
            </w:r>
          </w:p>
        </w:tc>
        <w:tc>
          <w:tcPr>
            <w:tcW w:type="dxa" w:w="158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4.3배</w:t>
            </w:r>
          </w:p>
        </w:tc>
        <w:tc>
          <w:tcPr>
            <w:tcW w:type="dxa" w:w="158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3.4배</w:t>
            </w:r>
          </w:p>
        </w:tc>
        <w:tc>
          <w:tcPr>
            <w:tcW w:type="dxa" w:w="226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27년 5.1배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삼성전자</w:t>
            </w:r>
          </w:p>
        </w:tc>
        <w:tc>
          <w:tcPr>
            <w:tcW w:type="dxa" w:w="181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24.75만원</w:t>
            </w:r>
          </w:p>
        </w:tc>
        <w:tc>
          <w:tcPr>
            <w:tcW w:type="dxa" w:w="158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5.2배</w:t>
            </w:r>
          </w:p>
        </w:tc>
        <w:tc>
          <w:tcPr>
            <w:tcW w:type="dxa" w:w="158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3.7배</w:t>
            </w:r>
          </w:p>
        </w:tc>
        <w:tc>
          <w:tcPr>
            <w:tcW w:type="dxa" w:w="226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27년 5.6배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SKH ADR</w:t>
            </w:r>
          </w:p>
        </w:tc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$163.8</w:t>
            </w:r>
          </w:p>
        </w:tc>
        <w:tc>
          <w:tcPr>
            <w:tcW w:type="dxa" w:w="158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6.6배</w:t>
            </w:r>
          </w:p>
        </w:tc>
        <w:tc>
          <w:tcPr>
            <w:tcW w:type="dxa" w:w="158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5.2배</w:t>
            </w:r>
          </w:p>
        </w:tc>
        <w:tc>
          <w:tcPr>
            <w:tcW w:type="dxa" w:w="226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27년 7.7배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마이크론</w:t>
            </w:r>
          </w:p>
        </w:tc>
        <w:tc>
          <w:tcPr>
            <w:tcW w:type="dxa" w:w="181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$937</w:t>
            </w:r>
          </w:p>
        </w:tc>
        <w:tc>
          <w:tcPr>
            <w:tcW w:type="dxa" w:w="158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Fwd 7.5배</w:t>
            </w:r>
          </w:p>
        </w:tc>
        <w:tc>
          <w:tcPr>
            <w:tcW w:type="dxa" w:w="158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CY27 6.25배</w:t>
            </w:r>
          </w:p>
        </w:tc>
        <w:tc>
          <w:tcPr>
            <w:tcW w:type="dxa" w:w="226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샌디스크</w:t>
            </w:r>
          </w:p>
        </w:tc>
        <w:tc>
          <w:tcPr>
            <w:tcW w:type="dxa" w:w="181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$1,568</w:t>
            </w:r>
          </w:p>
        </w:tc>
        <w:tc>
          <w:tcPr>
            <w:tcW w:type="dxa" w:w="158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—</w:t>
            </w:r>
          </w:p>
        </w:tc>
        <w:tc>
          <w:tcPr>
            <w:tcW w:type="dxa" w:w="158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FY27 7.8배</w:t>
            </w:r>
          </w:p>
        </w:tc>
        <w:tc>
          <w:tcPr>
            <w:tcW w:type="dxa" w:w="226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—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FF8E7"/>
            <w:tcBorders>
              <w:top w:val="nil"/>
              <w:left w:val="single" w:sz="28" w:space="0" w:color="B8943A"/>
              <w:bottom w:val="nil"/>
              <w:right w:val="nil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i w:val="0"/>
                <w:color w:val="7A5C12"/>
                <w:sz w:val="20"/>
              </w:rPr>
              <w:t>ADR 프리미엄 함의</w:t>
            </w:r>
          </w:p>
          <w:p>
            <w:pPr>
              <w:spacing w:after="2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0"/>
              </w:rPr>
              <w:t>본주 대비 ADR ~52% 프리미엄. 정상 +20%(TSMC ~15%) 가정 시 본주 ~190만 암시.</w:t>
            </w:r>
          </w:p>
          <w:p>
            <w:pPr>
              <w:spacing w:after="2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0"/>
              </w:rPr>
              <w:t>최근 실제 30%+ 프리미엄 감안 시 본주 169~175만원 레인지 논의.</w:t>
            </w:r>
          </w:p>
        </w:tc>
      </w:tr>
    </w:tbl>
    <w:p>
      <w:pPr>
        <w:spacing w:after="80"/>
      </w:pPr>
    </w:p>
    <w:p>
      <w:pPr>
        <w:spacing w:after="100" w:before="0" w:line="278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1"/>
        </w:rPr>
        <w:t>다른 접근: 27년 성장 없다고 단순화하고 26년 PER 6~7배(과거 사이클 4~8배) 적용 시 SKH 208~242만 / 삼성 28.7~33.5만 산출 가능(코멘트 시나리오).</w:t>
      </w:r>
    </w:p>
    <w:p>
      <w:pPr>
        <w:spacing w:before="240" w:after="120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0"/>
        </w:rPr>
        <w:t xml:space="preserve">5.  </w:t>
      </w:r>
      <w:r>
        <w:rPr>
          <w:rFonts w:ascii="맑은 고딕" w:hAnsi="맑은 고딕" w:eastAsia="맑은 고딕"/>
          <w:b/>
          <w:i w:val="0"/>
          <w:color w:val="0F2043"/>
          <w:sz w:val="30"/>
        </w:rPr>
        <w:t>환율 — 왜 1,400 아래인가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852160" cy="235139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fx_path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51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852160" cy="225872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fx_sensitivit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258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1E407C"/>
          <w:sz w:val="25"/>
        </w:rPr>
        <w:t>추가 하락의 조건과 리스크</w:t>
      </w:r>
    </w:p>
    <w:p>
      <w:pPr>
        <w:spacing w:after="40"/>
        <w:ind w:left="283" w:hanging="181"/>
      </w:pPr>
      <w:r>
        <w:rPr>
          <w:rFonts w:ascii="맑은 고딕" w:hAnsi="맑은 고딕" w:eastAsia="맑은 고딕"/>
          <w:b w:val="0"/>
          <w:i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1"/>
        </w:rPr>
        <w:t>달러인덱스만 3~4% 하락해도 하단 ~1,360원 가능(계산상).</w:t>
      </w:r>
    </w:p>
    <w:p>
      <w:pPr>
        <w:spacing w:after="40"/>
        <w:ind w:left="283" w:hanging="181"/>
      </w:pPr>
      <w:r>
        <w:rPr>
          <w:rFonts w:ascii="맑은 고딕" w:hAnsi="맑은 고딕" w:eastAsia="맑은 고딕"/>
          <w:b w:val="0"/>
          <w:i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1"/>
        </w:rPr>
        <w:t>한국 강한 달러 공급 가세 시 1,340원대도 열림 — 다만 '조건부'.</w:t>
      </w:r>
    </w:p>
    <w:p>
      <w:pPr>
        <w:spacing w:after="40"/>
        <w:ind w:left="283" w:hanging="181"/>
      </w:pPr>
      <w:r>
        <w:rPr>
          <w:rFonts w:ascii="맑은 고딕" w:hAnsi="맑은 고딕" w:eastAsia="맑은 고딕"/>
          <w:b w:val="0"/>
          <w:i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1"/>
        </w:rPr>
        <w:t>원화 추가강세 리스크: ① 외인 국내주식 매도 ② 미-이란/유가 ③ 1,350 부근 달러 수요 증가.</w:t>
      </w:r>
    </w:p>
    <w:p>
      <w:pPr>
        <w:spacing w:after="40"/>
        <w:ind w:left="283" w:hanging="181"/>
      </w:pPr>
      <w:r>
        <w:rPr>
          <w:rFonts w:ascii="맑은 고딕" w:hAnsi="맑은 고딕" w:eastAsia="맑은 고딕"/>
          <w:b w:val="0"/>
          <w:i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1"/>
        </w:rPr>
        <w:t>시장은 연준 금리인상 1~2회를 일부 반영. 기대 되돌림 시 DXY 99→96~97 → 추가 원화강세.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DECEA"/>
            <w:tcBorders>
              <w:top w:val="nil"/>
              <w:left w:val="single" w:sz="28" w:space="0" w:color="991B1B"/>
              <w:bottom w:val="nil"/>
              <w:right w:val="nil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i w:val="0"/>
                <w:color w:val="991B1B"/>
                <w:sz w:val="20"/>
              </w:rPr>
              <w:t>수출주 함의</w:t>
            </w:r>
          </w:p>
          <w:p>
            <w:pPr>
              <w:spacing w:after="2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0"/>
              </w:rPr>
              <w:t>너무 가파른 원화강세는 3Q 수출주 원화약세 효과 기대를 깎는다. 환율 민감도는 하이닉스 &gt; 삼성.</w:t>
            </w:r>
          </w:p>
        </w:tc>
      </w:tr>
    </w:tbl>
    <w:p>
      <w:pPr>
        <w:spacing w:after="80"/>
      </w:pPr>
    </w:p>
    <w:p>
      <w:pPr>
        <w:spacing w:before="240" w:after="120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0"/>
        </w:rPr>
        <w:t xml:space="preserve">6.  </w:t>
      </w:r>
      <w:r>
        <w:rPr>
          <w:rFonts w:ascii="맑은 고딕" w:hAnsi="맑은 고딕" w:eastAsia="맑은 고딕"/>
          <w:b/>
          <w:i w:val="0"/>
          <w:color w:val="0F2043"/>
          <w:sz w:val="30"/>
        </w:rPr>
        <w:t>HBM 논쟁 — 우드·톰슨을 어떻게 읽을까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EEF2F8"/>
            <w:tcBorders>
              <w:top w:val="nil"/>
              <w:left w:val="single" w:sz="28" w:space="0" w:color="0F2043"/>
              <w:bottom w:val="nil"/>
              <w:right w:val="nil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i w:val="0"/>
                <w:color w:val="0F2043"/>
                <w:sz w:val="20"/>
              </w:rPr>
              <w:t>가장 타당한 해석</w:t>
            </w:r>
          </w:p>
          <w:p>
            <w:pPr>
              <w:spacing w:after="2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0"/>
              </w:rPr>
              <w:t>'현재 메모리주가 틀렸다'가 아니라,</w:t>
            </w:r>
          </w:p>
          <w:p>
            <w:pPr>
              <w:spacing w:after="2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0"/>
              </w:rPr>
              <w:t>'현재의 높은 HBM 가격결정력이 영구적이라고 가정하면 안 된다'는 경고.</w:t>
            </w:r>
          </w:p>
        </w:tc>
      </w:tr>
    </w:tbl>
    <w:p>
      <w:pPr>
        <w:spacing w:after="80"/>
      </w:pP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852160" cy="248117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hbm_debat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481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852160" cy="208379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memory_hierarch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083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1E407C"/>
          <w:sz w:val="25"/>
        </w:rPr>
        <w:t>타당성 정리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685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주장</w:t>
            </w:r>
          </w:p>
        </w:tc>
        <w:tc>
          <w:tcPr>
            <w:tcW w:type="dxa" w:w="1417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타당성</w:t>
            </w:r>
          </w:p>
        </w:tc>
        <w:tc>
          <w:tcPr>
            <w:tcW w:type="dxa" w:w="4535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코멘트</w:t>
            </w:r>
          </w:p>
        </w:tc>
      </w:tr>
      <w:tr>
        <w:trPr>
          <w:cantSplit/>
        </w:trPr>
        <w:tc>
          <w:tcPr>
            <w:tcW w:type="dxa" w:w="368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HBM 비싸서 메모리 수요가 곧 꺾인다</w:t>
            </w:r>
          </w:p>
        </w:tc>
        <w:tc>
          <w:tcPr>
            <w:tcW w:type="dxa" w:w="141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낮음</w:t>
            </w:r>
          </w:p>
        </w:tc>
        <w:tc>
          <w:tcPr>
            <w:tcW w:type="dxa" w:w="453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가격≠즉시 수요 고점</w:t>
            </w:r>
          </w:p>
        </w:tc>
      </w:tr>
      <w:tr>
        <w:trPr>
          <w:cantSplit/>
        </w:trPr>
        <w:tc>
          <w:tcPr>
            <w:tcW w:type="dxa" w:w="368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비싸면 효율화·대체 기술 유인↑</w:t>
            </w:r>
          </w:p>
        </w:tc>
        <w:tc>
          <w:tcPr>
            <w:tcW w:type="dxa" w:w="141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높음</w:t>
            </w:r>
          </w:p>
        </w:tc>
        <w:tc>
          <w:tcPr>
            <w:tcW w:type="dxa" w:w="453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경제적 유인 논리</w:t>
            </w:r>
          </w:p>
        </w:tc>
      </w:tr>
      <w:tr>
        <w:trPr>
          <w:cantSplit/>
        </w:trPr>
        <w:tc>
          <w:tcPr>
            <w:tcW w:type="dxa" w:w="368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SRAM이 HBM을 완전 대체</w:t>
            </w:r>
          </w:p>
        </w:tc>
        <w:tc>
          <w:tcPr>
            <w:tcW w:type="dxa" w:w="141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오해</w:t>
            </w:r>
          </w:p>
        </w:tc>
        <w:tc>
          <w:tcPr>
            <w:tcW w:type="dxa" w:w="453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대체보다 분업·계층화</w:t>
            </w:r>
          </w:p>
        </w:tc>
      </w:tr>
    </w:tbl>
    <w:p>
      <w:pPr>
        <w:spacing w:after="120"/>
      </w:pPr>
    </w:p>
    <w:p>
      <w:pPr>
        <w:spacing w:after="100" w:before="0" w:line="278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1"/>
        </w:rPr>
        <w:t>벤 톰슨 비유: HBM 공급자 = 호르무즈. 가격을 과도하게 올리면 고객은 장기적으로 공급망·기술 대체를 찾는다.</w:t>
      </w:r>
    </w:p>
    <w:p>
      <w:pPr>
        <w:spacing w:before="240" w:after="120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0"/>
        </w:rPr>
        <w:t xml:space="preserve">7.  </w:t>
      </w:r>
      <w:r>
        <w:rPr>
          <w:rFonts w:ascii="맑은 고딕" w:hAnsi="맑은 고딕" w:eastAsia="맑은 고딕"/>
          <w:b/>
          <w:i w:val="0"/>
          <w:color w:val="0F2043"/>
          <w:sz w:val="30"/>
        </w:rPr>
        <w:t>반도체 뉴스플로우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1E407C"/>
          <w:sz w:val="25"/>
        </w:rPr>
        <w:t>삼성 파운드리 가격 인상 (Reuters)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1984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공정</w:t>
            </w:r>
          </w:p>
        </w:tc>
        <w:tc>
          <w:tcPr>
            <w:tcW w:type="dxa" w:w="3118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인상폭</w:t>
            </w:r>
          </w:p>
        </w:tc>
        <w:tc>
          <w:tcPr>
            <w:tcW w:type="dxa" w:w="4535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배경</w:t>
            </w:r>
          </w:p>
        </w:tc>
      </w:tr>
      <w:tr>
        <w:trPr>
          <w:cantSplit/>
        </w:trPr>
        <w:tc>
          <w:tcPr>
            <w:tcW w:type="dxa" w:w="198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4나노(SF4)</w:t>
            </w:r>
          </w:p>
        </w:tc>
        <w:tc>
          <w:tcPr>
            <w:tcW w:type="dxa" w:w="311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미·중 10~15% / 대만 5~10%</w:t>
            </w:r>
          </w:p>
        </w:tc>
        <w:tc>
          <w:tcPr>
            <w:tcW w:type="dxa" w:w="453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TSMC 포화 → 삼성으로 분산</w:t>
            </w:r>
          </w:p>
        </w:tc>
      </w:tr>
      <w:tr>
        <w:trPr>
          <w:cantSplit/>
        </w:trPr>
        <w:tc>
          <w:tcPr>
            <w:tcW w:type="dxa" w:w="1984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5나노(SF5)</w:t>
            </w:r>
          </w:p>
        </w:tc>
        <w:tc>
          <w:tcPr>
            <w:tcW w:type="dxa" w:w="3118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웨이퍼 10~15%</w:t>
            </w:r>
          </w:p>
        </w:tc>
        <w:tc>
          <w:tcPr>
            <w:tcW w:type="dxa" w:w="4535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중국 팹리스 해외 의존↑</w:t>
            </w:r>
          </w:p>
        </w:tc>
      </w:tr>
      <w:tr>
        <w:trPr>
          <w:cantSplit/>
        </w:trPr>
        <w:tc>
          <w:tcPr>
            <w:tcW w:type="dxa" w:w="1984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8나노</w:t>
            </w:r>
          </w:p>
        </w:tc>
        <w:tc>
          <w:tcPr>
            <w:tcW w:type="dxa" w:w="3118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~10%</w:t>
            </w:r>
          </w:p>
        </w:tc>
        <w:tc>
          <w:tcPr>
            <w:tcW w:type="dxa" w:w="4535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평택 SF4 풀가동(퀄컴+HBM 베이스다이)</w:t>
            </w:r>
          </w:p>
        </w:tc>
      </w:tr>
    </w:tbl>
    <w:p>
      <w:pPr>
        <w:spacing w:after="120"/>
      </w:pPr>
    </w:p>
    <w:p>
      <w:pPr>
        <w:spacing w:after="40"/>
        <w:ind w:left="283" w:hanging="181"/>
      </w:pPr>
      <w:r>
        <w:rPr>
          <w:rFonts w:ascii="맑은 고딕" w:hAnsi="맑은 고딕" w:eastAsia="맑은 고딕"/>
          <w:b w:val="0"/>
          <w:i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1"/>
        </w:rPr>
        <w:t>파운드리 흑자 전환 기대(이르면 내년). AI·HPC 비중 확대. 구글 4나노 협의 중.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1E407C"/>
          <w:sz w:val="25"/>
        </w:rPr>
        <w:t>Google × Marvell</w:t>
      </w:r>
    </w:p>
    <w:p>
      <w:pPr>
        <w:spacing w:before="60" w:after="120"/>
        <w:jc w:val="center"/>
      </w:pPr>
      <w:r>
        <w:rPr>
          <w:rFonts w:ascii="맑은 고딕" w:hAnsi="맑은 고딕" w:eastAsia="맑은 고딕"/>
          <w:b/>
          <w:i w:val="0"/>
          <w:color w:val="0F2043"/>
          <w:sz w:val="21"/>
        </w:rPr>
        <w:t>커스텀 ASIC 확대</w:t>
      </w:r>
      <w:r>
        <w:rPr>
          <w:rFonts w:ascii="맑은 고딕" w:hAnsi="맑은 고딕" w:eastAsia="맑은 고딕"/>
          <w:b/>
          <w:i w:val="0"/>
          <w:color w:val="B8943A"/>
          <w:sz w:val="21"/>
        </w:rPr>
        <w:t xml:space="preserve">  →  </w:t>
      </w:r>
      <w:r>
        <w:rPr>
          <w:rFonts w:ascii="맑은 고딕" w:hAnsi="맑은 고딕" w:eastAsia="맑은 고딕"/>
          <w:b/>
          <w:i w:val="0"/>
          <w:color w:val="0F2043"/>
          <w:sz w:val="21"/>
        </w:rPr>
        <w:t>TPU 주변 생태계</w:t>
      </w:r>
      <w:r>
        <w:rPr>
          <w:rFonts w:ascii="맑은 고딕" w:hAnsi="맑은 고딕" w:eastAsia="맑은 고딕"/>
          <w:b/>
          <w:i w:val="0"/>
          <w:color w:val="B8943A"/>
          <w:sz w:val="21"/>
        </w:rPr>
        <w:t xml:space="preserve">  →  </w:t>
      </w:r>
      <w:r>
        <w:rPr>
          <w:rFonts w:ascii="맑은 고딕" w:hAnsi="맑은 고딕" w:eastAsia="맑은 고딕"/>
          <w:b/>
          <w:i w:val="0"/>
          <w:color w:val="0F2043"/>
          <w:sz w:val="21"/>
        </w:rPr>
        <w:t>Warrant 5,897만주</w:t>
      </w:r>
      <w:r>
        <w:rPr>
          <w:rFonts w:ascii="맑은 고딕" w:hAnsi="맑은 고딕" w:eastAsia="맑은 고딕"/>
          <w:b/>
          <w:i w:val="0"/>
          <w:color w:val="B8943A"/>
          <w:sz w:val="21"/>
        </w:rPr>
        <w:t xml:space="preserve">  →  </w:t>
      </w:r>
      <w:r>
        <w:rPr>
          <w:rFonts w:ascii="맑은 고딕" w:hAnsi="맑은 고딕" w:eastAsia="맑은 고딕"/>
          <w:b/>
          <w:i w:val="0"/>
          <w:color w:val="0F2043"/>
          <w:sz w:val="21"/>
        </w:rPr>
        <w:t>매출 $5억마다 vest</w:t>
      </w:r>
    </w:p>
    <w:p>
      <w:pPr>
        <w:spacing w:after="40"/>
        <w:ind w:left="283" w:hanging="181"/>
      </w:pPr>
      <w:r>
        <w:rPr>
          <w:rFonts w:ascii="맑은 고딕" w:hAnsi="맑은 고딕" w:eastAsia="맑은 고딕"/>
          <w:b w:val="0"/>
          <w:i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1"/>
        </w:rPr>
        <w:t>마벨 +7~10%대 vs 브로드컴 -4%후반 — Broadcom TPU 독점 견제 신호로 해석.</w:t>
      </w:r>
    </w:p>
    <w:p>
      <w:pPr>
        <w:spacing w:after="40"/>
        <w:ind w:left="283" w:hanging="181"/>
      </w:pPr>
      <w:r>
        <w:rPr>
          <w:rFonts w:ascii="맑은 고딕" w:hAnsi="맑은 고딕" w:eastAsia="맑은 고딕"/>
          <w:b w:val="0"/>
          <w:i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1"/>
        </w:rPr>
        <w:t>행사가 $206.58, FY27 Q3~FY33. 단기 이벤트보다 장기 AI ASIC 계약 성격.</w:t>
      </w:r>
    </w:p>
    <w:p>
      <w:pPr>
        <w:spacing w:before="240" w:after="120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0"/>
        </w:rPr>
        <w:t xml:space="preserve">8.  </w:t>
      </w:r>
      <w:r>
        <w:rPr>
          <w:rFonts w:ascii="맑은 고딕" w:hAnsi="맑은 고딕" w:eastAsia="맑은 고딕"/>
          <w:b/>
          <w:i w:val="0"/>
          <w:color w:val="0F2043"/>
          <w:sz w:val="30"/>
        </w:rPr>
        <w:t>개별 아이디어 요약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852160" cy="226934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isu_multilam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269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1E407C"/>
          <w:sz w:val="25"/>
        </w:rPr>
        <w:t>이수페타시스 — 이익 레버리지</w:t>
      </w:r>
    </w:p>
    <w:p>
      <w:pPr>
        <w:spacing w:after="40"/>
        <w:ind w:left="283" w:hanging="181"/>
      </w:pPr>
      <w:r>
        <w:rPr>
          <w:rFonts w:ascii="맑은 고딕" w:hAnsi="맑은 고딕" w:eastAsia="맑은 고딕"/>
          <w:b w:val="0"/>
          <w:i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1"/>
        </w:rPr>
        <w:t>2Q26 컨센 상회. Multi-Lam 1Q 7%→2Q 11%, 수주잔고 20%+.</w:t>
      </w:r>
    </w:p>
    <w:p>
      <w:pPr>
        <w:spacing w:after="40"/>
        <w:ind w:left="283" w:hanging="181"/>
      </w:pPr>
      <w:r>
        <w:rPr>
          <w:rFonts w:ascii="맑은 고딕" w:hAnsi="맑은 고딕" w:eastAsia="맑은 고딕"/>
          <w:b w:val="0"/>
          <w:i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1"/>
        </w:rPr>
        <w:t>4Q G사 Multi-Lam 전환 + M사 ASIC 양산. 판가 +15% 협상.</w:t>
      </w:r>
    </w:p>
    <w:p>
      <w:pPr>
        <w:spacing w:after="40"/>
        <w:ind w:left="283" w:hanging="181"/>
      </w:pPr>
      <w:r>
        <w:rPr>
          <w:rFonts w:ascii="맑은 고딕" w:hAnsi="맑은 고딕" w:eastAsia="맑은 고딕"/>
          <w:b w:val="0"/>
          <w:i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1"/>
        </w:rPr>
        <w:t>Capa+믹스+수율+판가 → 양적·질적 성장. 27년 OP +10% 상향여지.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1E407C"/>
          <w:sz w:val="25"/>
        </w:rPr>
        <w:t>기가비스 — FC-BGA의 눈과 레이저</w:t>
      </w:r>
    </w:p>
    <w:p>
      <w:pPr>
        <w:spacing w:after="40"/>
        <w:ind w:left="283" w:hanging="181"/>
      </w:pPr>
      <w:r>
        <w:rPr>
          <w:rFonts w:ascii="맑은 고딕" w:hAnsi="맑은 고딕" w:eastAsia="맑은 고딕"/>
          <w:b w:val="0"/>
          <w:i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1"/>
        </w:rPr>
        <w:t>AOI(검사)+AOR(수리). 고객: 이비덴·신코·유니마이크론·삼성전기.</w:t>
      </w:r>
    </w:p>
    <w:p>
      <w:pPr>
        <w:spacing w:after="40"/>
        <w:ind w:left="283" w:hanging="181"/>
      </w:pPr>
      <w:r>
        <w:rPr>
          <w:rFonts w:ascii="맑은 고딕" w:hAnsi="맑은 고딕" w:eastAsia="맑은 고딕"/>
          <w:b w:val="0"/>
          <w:i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1"/>
        </w:rPr>
        <w:t>일본 기판사 89.5억 수주(매출比 17.1%). 컨센 TP ~19만, 26년 기준 비쌈·27년 성장이 초점.</w:t>
      </w:r>
    </w:p>
    <w:p>
      <w:pPr>
        <w:spacing w:after="40"/>
        <w:ind w:left="283" w:hanging="181"/>
      </w:pPr>
      <w:r>
        <w:rPr>
          <w:rFonts w:ascii="맑은 고딕" w:hAnsi="맑은 고딕" w:eastAsia="맑은 고딕"/>
          <w:b w:val="0"/>
          <w:i w:val="0"/>
          <w:color w:val="1E407C"/>
          <w:sz w:val="21"/>
        </w:rPr>
        <w:t xml:space="preserve">• </w:t>
      </w:r>
      <w:r>
        <w:rPr>
          <w:rFonts w:ascii="맑은 고딕" w:hAnsi="맑은 고딕" w:eastAsia="맑은 고딕"/>
          <w:b w:val="0"/>
          <w:i w:val="0"/>
          <w:color w:val="1A1A1A"/>
          <w:sz w:val="21"/>
        </w:rPr>
        <w:t>메리츠: 26년 매출 1,855억 / OP 721억 전망(장비주 레버리지).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1E407C"/>
          <w:sz w:val="25"/>
        </w:rPr>
        <w:t>기타 한 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5DCE6"/>
          <w:left w:val="single" w:sz="4" w:space="0" w:color="D5DCE6"/>
          <w:bottom w:val="single" w:sz="4" w:space="0" w:color="D5DCE6"/>
          <w:right w:val="single" w:sz="4" w:space="0" w:color="D5DCE6"/>
          <w:insideH w:val="single" w:sz="4" w:space="0" w:color="D5DCE6"/>
          <w:insideV w:val="single" w:sz="4" w:space="0" w:color="D5DCE6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2551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종목/테마</w:t>
            </w:r>
          </w:p>
        </w:tc>
        <w:tc>
          <w:tcPr>
            <w:tcW w:type="dxa" w:w="7087"/>
            <w:shd w:val="clear" w:color="auto" w:fill="0F2043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포인트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LS</w:t>
            </w:r>
          </w:p>
        </w:tc>
        <w:tc>
          <w:tcPr>
            <w:tcW w:type="dxa" w:w="708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자회사 체력↑. 26/27 OP +20%/+17% 상향. 자사주 소각 의무화 논의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한화에어로스페이스</w:t>
            </w:r>
          </w:p>
        </w:tc>
        <w:tc>
          <w:tcPr>
            <w:tcW w:type="dxa" w:w="708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미 육군 MTC 시제기 단독. 양산 시 ~10조 파이프라인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LG엔솔</w:t>
            </w:r>
          </w:p>
        </w:tc>
        <w:tc>
          <w:tcPr>
            <w:tcW w:type="dxa" w:w="708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북미 EV→ESS 재편. 테슬라 메가팩 LFP. 방산 배터리 협의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알테오젠</w:t>
            </w:r>
          </w:p>
        </w:tc>
        <w:tc>
          <w:tcPr>
            <w:tcW w:type="dxa" w:w="7087"/>
            <w:shd w:val="clear" w:color="auto" w:fill="F7F9FC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키트루다SC 상업화 + 병용 확대. MSD·모더나 모멘텀 연계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i w:val="0"/>
                <w:color w:val="1A1A1A"/>
                <w:sz w:val="18"/>
              </w:rPr>
              <w:t>유니트리</w:t>
            </w:r>
          </w:p>
        </w:tc>
        <w:tc>
          <w:tcPr>
            <w:tcW w:type="dxa" w:w="7087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18"/>
              </w:rPr>
              <w:t>커촹반 상장 급등. PSR 고평가 논쟁. 상업화 ROI가 다음 관문</w:t>
            </w:r>
          </w:p>
        </w:tc>
      </w:tr>
    </w:tbl>
    <w:p>
      <w:pPr>
        <w:spacing w:after="120"/>
      </w:pPr>
    </w:p>
    <w:p>
      <w:pPr>
        <w:spacing w:before="240" w:after="120"/>
        <w:pBdr>
          <w:bottom w:val="single" w:sz="12" w:space="4" w:color="0F2043"/>
        </w:pBdr>
      </w:pPr>
      <w:r>
        <w:rPr>
          <w:rFonts w:ascii="맑은 고딕" w:hAnsi="맑은 고딕" w:eastAsia="맑은 고딕"/>
          <w:b/>
          <w:i w:val="0"/>
          <w:color w:val="B8943A"/>
          <w:sz w:val="30"/>
        </w:rPr>
        <w:t xml:space="preserve">9.  </w:t>
      </w:r>
      <w:r>
        <w:rPr>
          <w:rFonts w:ascii="맑은 고딕" w:hAnsi="맑은 고딕" w:eastAsia="맑은 고딕"/>
          <w:b/>
          <w:i w:val="0"/>
          <w:color w:val="0F2043"/>
          <w:sz w:val="30"/>
        </w:rPr>
        <w:t>워치리스트 &amp; 마감 시사점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852160" cy="257073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watchlis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7073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FF8E7"/>
            <w:tcBorders>
              <w:top w:val="nil"/>
              <w:left w:val="single" w:sz="28" w:space="0" w:color="B8943A"/>
              <w:bottom w:val="nil"/>
              <w:right w:val="nil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i w:val="0"/>
                <w:color w:val="7A5C12"/>
                <w:sz w:val="20"/>
              </w:rPr>
              <w:t>마감 생각 (요약)</w:t>
            </w:r>
          </w:p>
          <w:p>
            <w:pPr>
              <w:spacing w:after="2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0"/>
              </w:rPr>
              <w:t>금리발 하락을 주주환원으로 일부 방어. 롱·숏 공방은 계속.</w:t>
            </w:r>
          </w:p>
          <w:p>
            <w:pPr>
              <w:spacing w:after="2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0"/>
              </w:rPr>
              <w:t>'금리↓=주가↑' 공식에만 몰입하기보다, 성장이 금리 비용을 이기는지 확인하는 국면.</w:t>
            </w:r>
          </w:p>
          <w:p>
            <w:pPr>
              <w:spacing w:after="2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0"/>
              </w:rPr>
              <w:t>추가 하락은 막더라도 보수적 접근 유지. 반등 시 차익 매물 구간 가능.</w:t>
            </w:r>
          </w:p>
        </w:tc>
      </w:tr>
    </w:tbl>
    <w:p>
      <w:pPr>
        <w:spacing w:after="80"/>
      </w:pP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1E407C"/>
          <w:sz w:val="25"/>
        </w:rPr>
        <w:t>내일·앞으로의 체크</w:t>
      </w:r>
    </w:p>
    <w:p>
      <w:pPr>
        <w:spacing w:before="60" w:after="120"/>
        <w:jc w:val="center"/>
      </w:pPr>
      <w:r>
        <w:rPr>
          <w:rFonts w:ascii="맑은 고딕" w:hAnsi="맑은 고딕" w:eastAsia="맑은 고딕"/>
          <w:b/>
          <w:i w:val="0"/>
          <w:color w:val="0F2043"/>
          <w:sz w:val="21"/>
        </w:rPr>
        <w:t>10년물 4.7%</w:t>
      </w:r>
      <w:r>
        <w:rPr>
          <w:rFonts w:ascii="맑은 고딕" w:hAnsi="맑은 고딕" w:eastAsia="맑은 고딕"/>
          <w:b/>
          <w:i w:val="0"/>
          <w:color w:val="B8943A"/>
          <w:sz w:val="21"/>
        </w:rPr>
        <w:t xml:space="preserve">  →  </w:t>
      </w:r>
      <w:r>
        <w:rPr>
          <w:rFonts w:ascii="맑은 고딕" w:hAnsi="맑은 고딕" w:eastAsia="맑은 고딕"/>
          <w:b/>
          <w:i w:val="0"/>
          <w:color w:val="0F2043"/>
          <w:sz w:val="21"/>
        </w:rPr>
        <w:t>유가 $90</w:t>
      </w:r>
      <w:r>
        <w:rPr>
          <w:rFonts w:ascii="맑은 고딕" w:hAnsi="맑은 고딕" w:eastAsia="맑은 고딕"/>
          <w:b/>
          <w:i w:val="0"/>
          <w:color w:val="B8943A"/>
          <w:sz w:val="21"/>
        </w:rPr>
        <w:t xml:space="preserve">  →  </w:t>
      </w:r>
      <w:r>
        <w:rPr>
          <w:rFonts w:ascii="맑은 고딕" w:hAnsi="맑은 고딕" w:eastAsia="맑은 고딕"/>
          <w:b/>
          <w:i w:val="0"/>
          <w:color w:val="0F2043"/>
          <w:sz w:val="21"/>
        </w:rPr>
        <w:t>USD/JPY 안정</w:t>
      </w:r>
      <w:r>
        <w:rPr>
          <w:rFonts w:ascii="맑은 고딕" w:hAnsi="맑은 고딕" w:eastAsia="맑은 고딕"/>
          <w:b/>
          <w:i w:val="0"/>
          <w:color w:val="B8943A"/>
          <w:sz w:val="21"/>
        </w:rPr>
        <w:t xml:space="preserve">  →  </w:t>
      </w:r>
      <w:r>
        <w:rPr>
          <w:rFonts w:ascii="맑은 고딕" w:hAnsi="맑은 고딕" w:eastAsia="맑은 고딕"/>
          <w:b/>
          <w:i w:val="0"/>
          <w:color w:val="0F2043"/>
          <w:sz w:val="21"/>
        </w:rPr>
        <w:t>Nvidia 8/26</w:t>
      </w:r>
      <w:r>
        <w:rPr>
          <w:rFonts w:ascii="맑은 고딕" w:hAnsi="맑은 고딕" w:eastAsia="맑은 고딕"/>
          <w:b/>
          <w:i w:val="0"/>
          <w:color w:val="B8943A"/>
          <w:sz w:val="21"/>
        </w:rPr>
        <w:t xml:space="preserve">  →  </w:t>
      </w:r>
      <w:r>
        <w:rPr>
          <w:rFonts w:ascii="맑은 고딕" w:hAnsi="맑은 고딕" w:eastAsia="맑은 고딕"/>
          <w:b/>
          <w:i w:val="0"/>
          <w:color w:val="0F2043"/>
          <w:sz w:val="21"/>
        </w:rPr>
        <w:t>3Q26 환원 디테일</w:t>
      </w:r>
    </w:p>
    <w:p>
      <w:pPr>
        <w:spacing w:after="160" w:before="0" w:line="278" w:lineRule="auto"/>
        <w:jc w:val="left"/>
      </w:pPr>
      <w:r>
        <w:rPr>
          <w:rFonts w:ascii="맑은 고딕" w:hAnsi="맑은 고딕" w:eastAsia="맑은 고딕"/>
          <w:b w:val="0"/>
          <w:i w:val="0"/>
          <w:color w:val="1A1A1A"/>
          <w:sz w:val="22"/>
        </w:rPr>
        <w:t xml:space="preserve">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DECEA"/>
            <w:tcBorders>
              <w:top w:val="nil"/>
              <w:left w:val="single" w:sz="28" w:space="0" w:color="991B1B"/>
              <w:bottom w:val="nil"/>
              <w:right w:val="nil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i w:val="0"/>
                <w:color w:val="991B1B"/>
                <w:sz w:val="20"/>
              </w:rPr>
              <w:t>면책</w:t>
            </w:r>
          </w:p>
          <w:p>
            <w:pPr>
              <w:spacing w:after="2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0"/>
              </w:rPr>
              <w:t>본 자료는 Quick 코멘트를 시각화·재구성한 참고용 브리핑이며 매수·매도 추천이 아닙니다.</w:t>
            </w:r>
          </w:p>
          <w:p>
            <w:pPr>
              <w:spacing w:after="2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0"/>
              </w:rPr>
              <w:t>투자 판단과 책임은 각자에게 있으며, 법적 자료로 활용할 수 없습니다.</w:t>
            </w:r>
          </w:p>
          <w:p>
            <w:pPr>
              <w:spacing w:after="2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1A1A1A"/>
                <w:sz w:val="20"/>
              </w:rPr>
              <w:t>수치·시나리오는 공개 코멘트 시점 기준이며 시장 상황에 따라 달라질 수 있습니다.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i w:val="0"/>
        <w:color w:val="4B5563"/>
        <w:sz w:val="16"/>
      </w:rPr>
      <w:t xml:space="preserve">Quick 코멘트 종합  ·  매수·매도 추천 아님  ·  </w:t>
    </w:r>
    <w:fldSimple w:instr=" PAGE ">
      <w:r>
        <w:rPr>
          <w:sz w:val="16"/>
          <w:color w:val="4B5563"/>
          <w:rFonts w:ascii="맑은 고딕" w:hAnsi="맑은 고딕" w:eastAsia="맑은 고딕"/>
        </w:rPr>
        <w:t/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맑은 고딕" w:hAnsi="맑은 고딕" w:eastAsia="맑은 고딕"/>
        <w:b w:val="0"/>
        <w:i w:val="0"/>
        <w:color w:val="4B5563"/>
        <w:sz w:val="17"/>
      </w:rPr>
      <w:t>8/19 시장브리핑  ·  환율 · 주주환원 · HBM · 매크로  ·  시각화 보고서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before="0" w:line="278" w:lineRule="auto"/>
    </w:pPr>
    <w:rPr>
      <w:rFonts w:ascii="맑은 고딕" w:hAnsi="맑은 고딕" w:eastAsia="맑은 고딕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8월 19일 시장브리핑 (환율·주주환원·HBM·매크로)</dc:title>
  <dc:subject>Quick 코멘트 시각화 보고서</dc:subject>
  <dc:creator>준혁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