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shd w:val="clear" w:color="auto" w:fill="0F2043"/>
          </w:tcPr>
          <w:p>
            <w:pPr>
              <w:spacing w:before="28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38"/>
              </w:rPr>
              <w:t>8월 19일 시장 Quick 코멘트 종합 리포트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C9D2E0"/>
                <w:sz w:val="21"/>
              </w:rPr>
              <w:t>SK하이닉스 40조원 주주환원  ·  매크로의 역습(유가→금리)  ·  달러-원 1,400원 하회  ·  HBM 대체 논쟁</w:t>
            </w:r>
          </w:p>
          <w:p>
            <w:pPr>
              <w:spacing w:after="28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B8943A"/>
                <w:sz w:val="19"/>
              </w:rPr>
              <w:t>2026. 8. 19 (수)  |  Quick 코멘트 채널 정리  |  시각화 리포트</w:t>
            </w:r>
          </w:p>
        </w:tc>
      </w:tr>
    </w:tbl>
    <w:p>
      <w:pPr>
        <w:spacing w:before="0" w:after="4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9751"/>
            <w:shd w:val="clear" w:color="auto" w:fill="0F2043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오늘의 핵심 요약 (Executive Summary)</w:t>
            </w:r>
          </w:p>
        </w:tc>
      </w:tr>
    </w:tbl>
    <w:p>
      <w:pPr>
        <w:spacing w:before="0" w:after="4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3251"/>
        <w:gridCol w:w="3251"/>
        <w:gridCol w:w="3251"/>
      </w:tblGrid>
      <w:tr>
        <w:tc>
          <w:tcPr>
            <w:tcW w:type="dxa" w:w="1361"/>
            <w:shd w:val="clear" w:color="auto" w:fill="0F2043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테마</w:t>
            </w:r>
          </w:p>
        </w:tc>
        <w:tc>
          <w:tcPr>
            <w:tcW w:type="dxa" w:w="4649"/>
            <w:shd w:val="clear" w:color="auto" w:fill="0F2043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핵심 내용</w:t>
            </w:r>
          </w:p>
        </w:tc>
        <w:tc>
          <w:tcPr>
            <w:tcW w:type="dxa" w:w="3742"/>
            <w:shd w:val="clear" w:color="auto" w:fill="0F2043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시장 함의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SK하이닉스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주주환원</w:t>
            </w:r>
          </w:p>
        </w:tc>
        <w:tc>
          <w:tcPr>
            <w:tcW w:type="dxa" w:w="4649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40조원 자사주 매입·소각(발행주식의 3.3%, 국내 역대 최대). 25~27년 누적 FCF의 '50% 이상' 환원으로 정책 강화, 특별배당 검토. 추가 규모는 3Q26 실적발표 시 공개</w:t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EPS +3.4% 효과 + 밸류에이션 재평가 모멘텀.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직관적 상승 여력 +5~9%. 삼성전자 주주환원 기대 강화</w:t>
            </w:r>
          </w:p>
        </w:tc>
      </w:tr>
      <w:tr>
        <w:tc>
          <w:tcPr>
            <w:tcW w:type="dxa" w:w="1361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매크로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(유가→금리)</w:t>
            </w:r>
          </w:p>
        </w:tc>
        <w:tc>
          <w:tcPr>
            <w:tcW w:type="dxa" w:w="4649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미·이란 불확실성 → 유가 상승 → 인플레 우려 → 미 10년물 4.75%, 30년물 5.34%까지 급등. 이후 재무부 장기채 바이백 2배 확대(20억→40억달러)로 진정</w:t>
            </w:r>
          </w:p>
        </w:tc>
        <w:tc>
          <w:tcPr>
            <w:tcW w:type="dxa" w:w="3742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10년물 4.7% 이하 안정 여부가 단기 최대 변수.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5% 돌파·고착 시 AI/반도체 밸류 조정 위험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환율</w:t>
            </w:r>
          </w:p>
        </w:tc>
        <w:tc>
          <w:tcPr>
            <w:tcW w:type="dxa" w:w="4649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달러-원 1,400원 하회 — 달러 약세보다 한국의 강한 달러 공급(법인세·설비투자·수출기업 매도)이 주도. 하단 1,360원, 조건 충족 시 1,340원대</w:t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원화 강세는 수출주 EPS 역풍(하이닉스 민감도 +1%당 0.9%). 너무 가파르면 3Q 원화약세 효과 소멸</w:t>
            </w:r>
          </w:p>
        </w:tc>
      </w:tr>
      <w:tr>
        <w:tc>
          <w:tcPr>
            <w:tcW w:type="dxa" w:w="1361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HBM 논쟁</w:t>
            </w:r>
          </w:p>
        </w:tc>
        <w:tc>
          <w:tcPr>
            <w:tcW w:type="dxa" w:w="4649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캐시 우드·벤 톰슨: 'HBM 가격 급등이 대체 기술(SRAM·압축·경량화·ASIC) 투자를 자극' 경고. 반론: SRAM ≠ HBM, 대체보다 분업</w:t>
            </w:r>
          </w:p>
        </w:tc>
        <w:tc>
          <w:tcPr>
            <w:tcW w:type="dxa" w:w="3742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핵심 변수 = AI 연산 증가율 - 메모리 효율 개선률.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26~28년 초과이익은 유효, '영구적 가격결정력' 가정은 경계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미국장·종목</w:t>
            </w:r>
          </w:p>
        </w:tc>
        <w:tc>
          <w:tcPr>
            <w:tcW w:type="dxa" w:w="4649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자금의 피벗: AI·반도체 → 헬스케어(모더나 +77%). 마벨 +9.9%(구글 협력) vs 브로드컴 -4.6%. 삼성 파운드리 최대 15% 가격 인상</w:t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8/26 엔비디아 실적 전까지 AI 심리 재강화 vs 로테이션 지속 여부가 단기 변수</w:t>
            </w:r>
          </w:p>
        </w:tc>
      </w:tr>
    </w:tbl>
    <w:p>
      <w:pPr>
        <w:spacing w:before="0" w:after="4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9751"/>
            <w:shd w:val="clear" w:color="auto" w:fill="0F2043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1.  SK하이닉스 — 40조원 자사주 매입·소각, 국내 증시 역대 최대 주주환원</w:t>
            </w:r>
          </w:p>
        </w:tc>
      </w:tr>
    </w:tbl>
    <w:p>
      <w:pPr>
        <w:spacing w:before="0" w:after="40"/>
        <w:jc w:val="left"/>
      </w:pPr>
    </w:p>
    <w:p>
      <w:pPr>
        <w:spacing w:before="160" w:after="60"/>
        <w:jc w:val="left"/>
      </w:pPr>
      <w:r>
        <w:rPr>
          <w:rFonts w:ascii="맑은 고딕" w:hAnsi="맑은 고딕" w:eastAsia="맑은 고딕"/>
          <w:b/>
          <w:i w:val="0"/>
          <w:color w:val="B8943A"/>
          <w:sz w:val="24"/>
        </w:rPr>
        <w:t>▎</w:t>
      </w:r>
      <w:r>
        <w:rPr>
          <w:rFonts w:ascii="맑은 고딕" w:hAnsi="맑은 고딕" w:eastAsia="맑은 고딕"/>
          <w:b/>
          <w:i w:val="0"/>
          <w:color w:val="1E407C"/>
          <w:sz w:val="23"/>
        </w:rPr>
        <w:t>공시 요약 (8/19 장 마감 후, DART)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876"/>
        <w:gridCol w:w="4876"/>
      </w:tblGrid>
      <w:tr>
        <w:tc>
          <w:tcPr>
            <w:tcW w:type="dxa" w:w="1814"/>
            <w:shd w:val="clear" w:color="auto" w:fill="0F2043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7937"/>
            <w:shd w:val="clear" w:color="auto" w:fill="0F2043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취득·소각 규모</w:t>
            </w:r>
          </w:p>
        </w:tc>
        <w:tc>
          <w:tcPr>
            <w:tcW w:type="dxa" w:w="7937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40조원 (전일 종가 166.2만원 기준 약 2,407만주, 발행주식 7억 3,049만주의 약 3.3%)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집행 기간</w:t>
            </w:r>
          </w:p>
        </w:tc>
        <w:tc>
          <w:tcPr>
            <w:tcW w:type="dxa" w:w="7937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8/20 ~ 11/19, 3개월 내 완료 후 전량 소각 — 현 주가 기준 62영업일간 일평균 약 6,452억원 매입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정책 변경</w:t>
            </w:r>
          </w:p>
        </w:tc>
        <w:tc>
          <w:tcPr>
            <w:tcW w:type="dxa" w:w="7937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2025~27년 누적 FCF의 '50% 범위 내' → '50% 이상' 환원으로 강화. 고정배당 + 특별배당 확대 검토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재무 여력</w:t>
            </w:r>
          </w:p>
        </w:tc>
        <w:tc>
          <w:tcPr>
            <w:tcW w:type="dxa" w:w="7937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2Q 말 순현금 약 69조원. '주가가 내재가치 대비 저평가' — 회사가 직접 명시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추가 환원</w:t>
            </w:r>
          </w:p>
        </w:tc>
        <w:tc>
          <w:tcPr>
            <w:tcW w:type="dxa" w:w="7937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구체적 추가 규모·방식은 이사회 결의를 거쳐 3분기 실적발표 시점에 안내 예정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구조적 효과</w:t>
            </w:r>
          </w:p>
        </w:tc>
        <w:tc>
          <w:tcPr>
            <w:tcW w:type="dxa" w:w="7937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주식수 3.3% 감소 → 동일 순이익 가정 시 EPS 약 +3.4%. ADR 발행으로 희석된 SK스퀘어 지분율 원상 복귀 구조</w:t>
            </w:r>
          </w:p>
        </w:tc>
      </w:tr>
    </w:tbl>
    <w:p>
      <w:pPr>
        <w:spacing w:before="0" w:after="40"/>
        <w:jc w:val="left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37304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kh_buyb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3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[차트 1] 소각 규모와 집행 스케줄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3586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kh_waterf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86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[차트 2] 주주환원 재원 추산 — 40조원은 시작일 가능성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E0"/>
          <w:left w:val="single" w:sz="4" w:space="0" w:color="C9D2E0"/>
          <w:bottom w:val="single" w:sz="4" w:space="0" w:color="C9D2E0"/>
          <w:right w:val="single" w:sz="4" w:space="0" w:color="C9D2E0"/>
          <w:insideH w:val="single" w:sz="4" w:space="0" w:color="C9D2E0"/>
          <w:insideV w:val="single" w:sz="4" w:space="0" w:color="C9D2E0"/>
        </w:tblBorders>
      </w:tblPr>
      <w:tblGrid>
        <w:gridCol w:w="9751"/>
      </w:tblGrid>
      <w:tr>
        <w:tc>
          <w:tcPr>
            <w:tcW w:type="dxa" w:w="9751"/>
            <w:shd w:val="clear" w:color="auto" w:fill="EEF2F8"/>
          </w:tcPr>
          <w:p>
            <w:pPr>
              <w:spacing w:before="60"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1"/>
              </w:rPr>
              <w:t>해석 포인트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① 192.5조원은 '2027년에 반드시 지급'이 아니라 25~27년 프로그램 기간 누적 환원 하한의 개념.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② 이미 확정된 40조원을 빼면 50% 기준만으로도 약 152.5조원의 추가 환원이 필요. 회사는 '50% 초과'로 목표를 올렸음.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③ 별도 FCF 모델(운전자본 등 보수 차감 후 150/210/205조원)로는 3년 누적 약 565조원 → 재원은 더 커질 수 있음.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④ 상승폭은 '규모 확대 가능성'을 얼마나 반영하느냐에 좌우 — 직관적으로 +5~9% 사이. 키옥시아(8월 자사주 매입 후 누적 +7.4%)·샌디스크(Buyback 자체보다 Investor Day 재평가가 반등 동력) 사례 참고.</w:t>
            </w:r>
          </w:p>
        </w:tc>
      </w:tr>
    </w:tbl>
    <w:p>
      <w:pPr>
        <w:spacing w:before="0" w:after="40"/>
        <w:jc w:val="left"/>
      </w:pPr>
    </w:p>
    <w:p>
      <w:pPr>
        <w:spacing w:before="160" w:after="60"/>
        <w:jc w:val="left"/>
      </w:pPr>
      <w:r>
        <w:rPr>
          <w:rFonts w:ascii="맑은 고딕" w:hAnsi="맑은 고딕" w:eastAsia="맑은 고딕"/>
          <w:b/>
          <w:i w:val="0"/>
          <w:color w:val="B8943A"/>
          <w:sz w:val="24"/>
        </w:rPr>
        <w:t>▎</w:t>
      </w:r>
      <w:r>
        <w:rPr>
          <w:rFonts w:ascii="맑은 고딕" w:hAnsi="맑은 고딕" w:eastAsia="맑은 고딕"/>
          <w:b/>
          <w:i w:val="0"/>
          <w:color w:val="1E407C"/>
          <w:sz w:val="23"/>
        </w:rPr>
        <w:t>ADR로 역산한 본주 적정가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3251"/>
        <w:gridCol w:w="3251"/>
        <w:gridCol w:w="3251"/>
      </w:tblGrid>
      <w:tr>
        <w:tc>
          <w:tcPr>
            <w:tcW w:type="dxa" w:w="2381"/>
            <w:shd w:val="clear" w:color="auto" w:fill="0F2043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3061"/>
            <w:shd w:val="clear" w:color="auto" w:fill="0F2043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수치</w:t>
            </w:r>
          </w:p>
        </w:tc>
        <w:tc>
          <w:tcPr>
            <w:tcW w:type="dxa" w:w="4309"/>
            <w:shd w:val="clear" w:color="auto" w:fill="0F2043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해석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ADR 8/19 종가</w:t>
            </w:r>
          </w:p>
        </w:tc>
        <w:tc>
          <w:tcPr>
            <w:tcW w:type="dxa" w:w="3061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156.16달러 (+0.3%)</w:t>
            </w:r>
          </w:p>
        </w:tc>
        <w:tc>
          <w:tcPr>
            <w:tcW w:type="dxa" w:w="4309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장중 +5.2%(163.8달러)까지 상승 후 반납. 시간외 +1%대 중반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ADR 환산 주가</w:t>
            </w:r>
          </w:p>
        </w:tc>
        <w:tc>
          <w:tcPr>
            <w:tcW w:type="dxa" w:w="3061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약 228만원 (환율 1,390원 기준)</w:t>
            </w:r>
          </w:p>
        </w:tc>
        <w:tc>
          <w:tcPr>
            <w:tcW w:type="dxa" w:w="4309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본주(150만원) 대비 52% 프리미엄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정상 프리미엄 +20% 가정</w:t>
            </w:r>
          </w:p>
        </w:tc>
        <w:tc>
          <w:tcPr>
            <w:tcW w:type="dxa" w:w="3061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본주 약 190만원</w:t>
            </w:r>
          </w:p>
        </w:tc>
        <w:tc>
          <w:tcPr>
            <w:tcW w:type="dxa" w:w="4309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TSMC ADR 프리미엄 15% 수준 참고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최근 실제 30~35% 적용</w:t>
            </w:r>
          </w:p>
        </w:tc>
        <w:tc>
          <w:tcPr>
            <w:tcW w:type="dxa" w:w="3061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본주 약 169~175만원</w:t>
            </w:r>
          </w:p>
        </w:tc>
        <w:tc>
          <w:tcPr>
            <w:tcW w:type="dxa" w:w="4309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현 주가 대비 +13~17% 여력</w:t>
            </w:r>
          </w:p>
        </w:tc>
      </w:tr>
    </w:tbl>
    <w:p>
      <w:pPr>
        <w:spacing w:before="0" w:after="4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9751"/>
            <w:shd w:val="clear" w:color="auto" w:fill="0F2043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2.  매크로의 역습 — 전쟁 · 유가 · 금리</w:t>
            </w:r>
          </w:p>
        </w:tc>
      </w:tr>
    </w:tbl>
    <w:p>
      <w:pPr>
        <w:spacing w:before="0" w:after="40"/>
        <w:jc w:val="left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22693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macro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269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[차트 3] 8/19 하락의 전달 경로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32272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227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[차트 4] 미 국채금리와 임계선 — 4.7% / 5.0%가 기준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E0"/>
          <w:left w:val="single" w:sz="4" w:space="0" w:color="C9D2E0"/>
          <w:bottom w:val="single" w:sz="4" w:space="0" w:color="C9D2E0"/>
          <w:right w:val="single" w:sz="4" w:space="0" w:color="C9D2E0"/>
          <w:insideH w:val="single" w:sz="4" w:space="0" w:color="C9D2E0"/>
          <w:insideV w:val="single" w:sz="4" w:space="0" w:color="C9D2E0"/>
        </w:tblBorders>
      </w:tblPr>
      <w:tblGrid>
        <w:gridCol w:w="9751"/>
      </w:tblGrid>
      <w:tr>
        <w:tc>
          <w:tcPr>
            <w:tcW w:type="dxa" w:w="9751"/>
            <w:shd w:val="clear" w:color="auto" w:fill="EEF2F8"/>
          </w:tcPr>
          <w:p>
            <w:pPr>
              <w:spacing w:before="60"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1"/>
              </w:rPr>
              <w:t>이번 조정의 성격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· 'AI 수요가 갑자기 약해졌다'(X) → '금리 상승으로 높은 밸류에이션이 압박받았다'로 단순화되기 쉽지만, 그마저도 타당성은 부족.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· 메모리는 원래 AI 투자 지속성 우려로 사이클 특성을 반영한 낮은 밸류에이션이었음.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· 국내 급락의 실제 배경: 2주 만에 코스피 +25%, 필라델피아 반도체 +21% 급등 후 차익 심리 + 6~7월 급락의 상처 미회복 + 반도체 실적 상향 정체.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· 유진투자증권 허재환 '금리는 무죄': 미 명목성장률 5~6% 대비 기준금리 4~5%·장기금리 5~6%가 성장 타격 임계 — 부담은 커졌지만 위기는 아님.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· 극복 경로는 두 가지: 기업의 대규모 주주환원(→ SK하이닉스가 실행) 또는 연준의 적극적 물가 대응.</w:t>
            </w:r>
          </w:p>
        </w:tc>
      </w:tr>
    </w:tbl>
    <w:p>
      <w:pPr>
        <w:spacing w:before="0" w:after="40"/>
        <w:jc w:val="left"/>
      </w:pPr>
    </w:p>
    <w:p>
      <w:pPr>
        <w:spacing w:before="160" w:after="60"/>
        <w:jc w:val="left"/>
      </w:pPr>
      <w:r>
        <w:rPr>
          <w:rFonts w:ascii="맑은 고딕" w:hAnsi="맑은 고딕" w:eastAsia="맑은 고딕"/>
          <w:b/>
          <w:i w:val="0"/>
          <w:color w:val="B8943A"/>
          <w:sz w:val="24"/>
        </w:rPr>
        <w:t>▎</w:t>
      </w:r>
      <w:r>
        <w:rPr>
          <w:rFonts w:ascii="맑은 고딕" w:hAnsi="맑은 고딕" w:eastAsia="맑은 고딕"/>
          <w:b/>
          <w:i w:val="0"/>
          <w:color w:val="1E407C"/>
          <w:sz w:val="23"/>
        </w:rPr>
        <w:t>엔캐리 청산 가능성 점검 — 2024년 8월과의 비교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30202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yen_carry_202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20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[차트 5] 2024년 8월 사례 — 하루 만의 반등은 유동성 쇼크였다는 증거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E0"/>
          <w:left w:val="single" w:sz="4" w:space="0" w:color="C9D2E0"/>
          <w:bottom w:val="single" w:sz="4" w:space="0" w:color="C9D2E0"/>
          <w:right w:val="single" w:sz="4" w:space="0" w:color="C9D2E0"/>
          <w:insideH w:val="single" w:sz="4" w:space="0" w:color="C9D2E0"/>
          <w:insideV w:val="single" w:sz="4" w:space="0" w:color="C9D2E0"/>
        </w:tblBorders>
      </w:tblPr>
      <w:tblGrid>
        <w:gridCol w:w="9751"/>
      </w:tblGrid>
      <w:tr>
        <w:tc>
          <w:tcPr>
            <w:tcW w:type="dxa" w:w="9751"/>
            <w:shd w:val="clear" w:color="auto" w:fill="FFF8E7"/>
          </w:tcPr>
          <w:p>
            <w:pPr>
              <w:spacing w:before="60"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1"/>
              </w:rPr>
              <w:t>판단 기준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· USD/JPY가 159 → 155 → 150으로 빠르게 하락하며 Nikkei·KOSPI가 동시에 무너지면 → 2024년 8월형 엔캐리 청산을 본격 의심.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· 반대로 현재처럼 157~159에서 반등하는 상태라면 → 1차 충격은 '글로벌 채권금리 상승/밸류에이션 압박' 성격.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· 일본 금리가 올라도 엔화·미 금리가 안정되고 일본 국채 입찰이 견조하면 → 일본의 금리 정상화 과정으로 흡수될 가능성.</w:t>
            </w:r>
          </w:p>
        </w:tc>
      </w:tr>
    </w:tbl>
    <w:p>
      <w:pPr>
        <w:spacing w:before="0" w:after="4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E0"/>
          <w:left w:val="single" w:sz="4" w:space="0" w:color="C9D2E0"/>
          <w:bottom w:val="single" w:sz="4" w:space="0" w:color="C9D2E0"/>
          <w:right w:val="single" w:sz="4" w:space="0" w:color="C9D2E0"/>
          <w:insideH w:val="single" w:sz="4" w:space="0" w:color="C9D2E0"/>
          <w:insideV w:val="single" w:sz="4" w:space="0" w:color="C9D2E0"/>
        </w:tblBorders>
      </w:tblPr>
      <w:tblGrid>
        <w:gridCol w:w="9751"/>
      </w:tblGrid>
      <w:tr>
        <w:tc>
          <w:tcPr>
            <w:tcW w:type="dxa" w:w="9751"/>
            <w:shd w:val="clear" w:color="auto" w:fill="FDECEA"/>
          </w:tcPr>
          <w:p>
            <w:pPr>
              <w:spacing w:before="60"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991B1B"/>
                <w:sz w:val="21"/>
              </w:rPr>
              <w:t>핵심 3대 변수 (전쟁 → 유가 → 금리 → AI/반도체)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① 10년물 미 국채금리: 4.7% 이하 안정 = 부담 완화  /  5% 돌파·고착 = 어떤 위험자산도 회피 국면.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② 유가: 브렌트 $90 전후 안정 = 충격 완화  /  $100 이상 = 인플레·금리 악순환.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③ 엔/달러 현 수준 유지 vs 150 초반 진입, 그리고 미·이란전 장기화 여부.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→ 토큰 수요 확대 = AI 투자 GO는 웬만한 금리 상승에도 근본 궤도가 바뀔 가능성 낮음. 다만 이란발 금리 이슈 안정화까지는 채권시장의 목소리에 힘이 실리는 국면.</w:t>
            </w:r>
          </w:p>
        </w:tc>
      </w:tr>
    </w:tbl>
    <w:p>
      <w:pPr>
        <w:spacing w:before="0" w:after="4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9751"/>
            <w:shd w:val="clear" w:color="auto" w:fill="0F2043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3.  달러-원 — 1,400원 하회, 국내 수급이 주도</w:t>
            </w:r>
          </w:p>
        </w:tc>
      </w:tr>
    </w:tbl>
    <w:p>
      <w:pPr>
        <w:spacing w:before="0" w:after="40"/>
        <w:jc w:val="left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22693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fx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269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[차트 6] 환율 하락 메커니즘 — 달러인덱스·엔화만으로는 설명 불가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33782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x_scenari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78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[차트 7] 하단 시나리오 — 1,300원대 중반은 조건부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30781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x_sensitiv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78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[차트 8] 환율 민감도 — 원화 강세는 수출주 이익의 역풍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E0"/>
          <w:left w:val="single" w:sz="4" w:space="0" w:color="C9D2E0"/>
          <w:bottom w:val="single" w:sz="4" w:space="0" w:color="C9D2E0"/>
          <w:right w:val="single" w:sz="4" w:space="0" w:color="C9D2E0"/>
          <w:insideH w:val="single" w:sz="4" w:space="0" w:color="C9D2E0"/>
          <w:insideV w:val="single" w:sz="4" w:space="0" w:color="C9D2E0"/>
        </w:tblBorders>
      </w:tblPr>
      <w:tblGrid>
        <w:gridCol w:w="9751"/>
      </w:tblGrid>
      <w:tr>
        <w:tc>
          <w:tcPr>
            <w:tcW w:type="dxa" w:w="9751"/>
            <w:shd w:val="clear" w:color="auto" w:fill="EEF2F8"/>
          </w:tcPr>
          <w:p>
            <w:pPr>
              <w:spacing w:before="60"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1"/>
              </w:rPr>
              <w:t>이익 추정에 주는 함의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· 환율 하락이 '너무 가파르면' 수출주의 원화약세 효과는 3Q부터 소멸 가능.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· 1,520 → 1,420원 가정 시 SK하이닉스 EPS 약 -5.9% → 2027년 순익 300~400조원 가정이면 약 18~24조원의 이익 하향 조정 가능성 (26년 하반기 환율 기준으로는 16.3조원).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· 추가 하락의 핵심 변수는 달러: 시장에 반영된 연준 금리 인상 기대(1~2회)가 되돌려지면 달러인덱스 99 → 96~97 → 달러-원 추가 하락 경로.</w:t>
            </w:r>
          </w:p>
        </w:tc>
      </w:tr>
    </w:tbl>
    <w:p>
      <w:pPr>
        <w:spacing w:before="0" w:after="4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9751"/>
            <w:shd w:val="clear" w:color="auto" w:fill="0F2043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4.  HBM 대체 논쟁 — '왜 메모리 주식을 사지 않는가' (캐시 우드 · 벤 톰슨)</w:t>
            </w:r>
          </w:p>
        </w:tc>
      </w:tr>
    </w:tbl>
    <w:p>
      <w:pPr>
        <w:spacing w:before="0" w:after="4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3251"/>
        <w:gridCol w:w="3251"/>
        <w:gridCol w:w="3251"/>
      </w:tblGrid>
      <w:tr>
        <w:tc>
          <w:tcPr>
            <w:tcW w:type="dxa" w:w="1701"/>
            <w:shd w:val="clear" w:color="auto" w:fill="0F2043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4309"/>
            <w:shd w:val="clear" w:color="auto" w:fill="0F2043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주장</w:t>
            </w:r>
          </w:p>
        </w:tc>
        <w:tc>
          <w:tcPr>
            <w:tcW w:type="dxa" w:w="3742"/>
            <w:shd w:val="clear" w:color="auto" w:fill="0F2043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평가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캐시 우드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(아크 인베스트)</w:t>
            </w:r>
          </w:p>
        </w:tc>
        <w:tc>
          <w:tcPr>
            <w:tcW w:type="dxa" w:w="4309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메모리 가격이 단기간 수배 급등하는 것은 긍정이 아닌 부정 신호. 급등이 지속될수록 AI 업계가 비용 절감 위해 대체 기술을 찾는 유인 확대</w:t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'HBM이 비싸지면 수요가 곧 꺾인다' → 타당성 낮음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'대체 기술 개발의 경제적 유인이 커진다' → 타당성 높음</w:t>
            </w:r>
          </w:p>
        </w:tc>
      </w:tr>
      <w:tr>
        <w:tc>
          <w:tcPr>
            <w:tcW w:type="dxa" w:w="1701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벤 톰슨</w:t>
            </w:r>
          </w:p>
        </w:tc>
        <w:tc>
          <w:tcPr>
            <w:tcW w:type="dxa" w:w="4309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HBM 공급자를 이란·호르무즈 해협에 비유 — 가격을 과도하게 올리면 고객은 장기적으로 공급망·기술 대체를 찾는다</w:t>
            </w:r>
          </w:p>
        </w:tc>
        <w:tc>
          <w:tcPr>
            <w:tcW w:type="dxa" w:w="3742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'현재 메모리주가 틀렸다'가 아니라 '높은 가격결정력이 영구적이라 가정하면 안 된다'는 경고로 해석이 타당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대체 경로 4가지</w:t>
            </w:r>
          </w:p>
        </w:tc>
        <w:tc>
          <w:tcPr>
            <w:tcW w:type="dxa" w:w="4309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① SRAM 확대  ② 메모리 압축(KV Cache)  ③ 모델 경량화  ④ ASIC 개발</w:t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헤게모니 프레임(메모리 vs 비메모리)으로 확산 시 수급 부담 가능성은 경계</w:t>
            </w:r>
          </w:p>
        </w:tc>
      </w:tr>
    </w:tbl>
    <w:p>
      <w:pPr>
        <w:spacing w:before="0" w:after="40"/>
        <w:jc w:val="left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31605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bm_varia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60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[차트 9] 논쟁의 핵심 변수 — 연산 증가율과 효율 개선률의 경주</w:t>
      </w:r>
    </w:p>
    <w:p>
      <w:pPr>
        <w:spacing w:before="160" w:after="60"/>
        <w:jc w:val="left"/>
      </w:pPr>
      <w:r>
        <w:rPr>
          <w:rFonts w:ascii="맑은 고딕" w:hAnsi="맑은 고딕" w:eastAsia="맑은 고딕"/>
          <w:b/>
          <w:i w:val="0"/>
          <w:color w:val="B8943A"/>
          <w:sz w:val="24"/>
        </w:rPr>
        <w:t>▎</w:t>
      </w:r>
      <w:r>
        <w:rPr>
          <w:rFonts w:ascii="맑은 고딕" w:hAnsi="맑은 고딕" w:eastAsia="맑은 고딕"/>
          <w:b/>
          <w:i w:val="0"/>
          <w:color w:val="1E407C"/>
          <w:sz w:val="23"/>
        </w:rPr>
        <w:t>이미 현실에서 나타나는 현상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3251"/>
        <w:gridCol w:w="3251"/>
        <w:gridCol w:w="3251"/>
      </w:tblGrid>
      <w:tr>
        <w:tc>
          <w:tcPr>
            <w:tcW w:type="dxa" w:w="2268"/>
            <w:shd w:val="clear" w:color="auto" w:fill="0F2043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사례</w:t>
            </w:r>
          </w:p>
        </w:tc>
        <w:tc>
          <w:tcPr>
            <w:tcW w:type="dxa" w:w="5669"/>
            <w:shd w:val="clear" w:color="auto" w:fill="0F2043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  <w:tc>
          <w:tcPr>
            <w:tcW w:type="dxa" w:w="1814"/>
            <w:shd w:val="clear" w:color="auto" w:fill="0F2043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현실성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Cerebras</w:t>
            </w:r>
          </w:p>
        </w:tc>
        <w:tc>
          <w:tcPr>
            <w:tcW w:type="dxa" w:w="5669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대규모 온칩 SRAM으로 HBM 의존도 축소 (실제 HBM 없이 구동)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🟢 높음</w:t>
            </w:r>
          </w:p>
        </w:tc>
      </w:tr>
      <w:tr>
        <w:tc>
          <w:tcPr>
            <w:tcW w:type="dxa" w:w="2268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Groq</w:t>
            </w:r>
          </w:p>
        </w:tc>
        <w:tc>
          <w:tcPr>
            <w:tcW w:type="dxa" w:w="5669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SRAM 기반 inference 구조</w:t>
            </w:r>
          </w:p>
        </w:tc>
        <w:tc>
          <w:tcPr>
            <w:tcW w:type="dxa" w:w="1814"/>
            <w:shd w:val="clear" w:color="auto" w:fill="F7F9FC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🟢 높음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NVIDIA + Groq 기술</w:t>
            </w:r>
          </w:p>
        </w:tc>
        <w:tc>
          <w:tcPr>
            <w:tcW w:type="dxa" w:w="5669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inference 전용 SRAM 구조를 NVIDIA도 채택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🟢 높음</w:t>
            </w:r>
          </w:p>
        </w:tc>
      </w:tr>
      <w:tr>
        <w:tc>
          <w:tcPr>
            <w:tcW w:type="dxa" w:w="2268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KV Cache 압축</w:t>
            </w:r>
          </w:p>
        </w:tc>
        <w:tc>
          <w:tcPr>
            <w:tcW w:type="dxa" w:w="5669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필요한 HBM 용량 감소 가능</w:t>
            </w:r>
          </w:p>
        </w:tc>
        <w:tc>
          <w:tcPr>
            <w:tcW w:type="dxa" w:w="1814"/>
            <w:shd w:val="clear" w:color="auto" w:fill="F7F9FC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🟢 높음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HBF/SSD 활용</w:t>
            </w:r>
          </w:p>
        </w:tc>
        <w:tc>
          <w:tcPr>
            <w:tcW w:type="dxa" w:w="5669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메모리 계층 다변화 (GPU HBM + CPU 메모리 + SSD 계층 활용)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🟡 진행 중</w:t>
            </w:r>
          </w:p>
        </w:tc>
      </w:tr>
    </w:tbl>
    <w:p>
      <w:pPr>
        <w:spacing w:before="0" w:after="4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E0"/>
          <w:left w:val="single" w:sz="4" w:space="0" w:color="C9D2E0"/>
          <w:bottom w:val="single" w:sz="4" w:space="0" w:color="C9D2E0"/>
          <w:right w:val="single" w:sz="4" w:space="0" w:color="C9D2E0"/>
          <w:insideH w:val="single" w:sz="4" w:space="0" w:color="C9D2E0"/>
          <w:insideV w:val="single" w:sz="4" w:space="0" w:color="C9D2E0"/>
        </w:tblBorders>
      </w:tblPr>
      <w:tblGrid>
        <w:gridCol w:w="9751"/>
      </w:tblGrid>
      <w:tr>
        <w:tc>
          <w:tcPr>
            <w:tcW w:type="dxa" w:w="9751"/>
            <w:shd w:val="clear" w:color="auto" w:fill="E8F5E9"/>
          </w:tcPr>
          <w:p>
            <w:pPr>
              <w:spacing w:before="60"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1"/>
              </w:rPr>
              <w:t>결론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· 가장 중요한 반론: SRAM ≠ HBM. 핵심은 '대체'보다 '분업' — workload에 따라 SRAM + HBM + DRAM + SSD의 최적 조합.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· 'HBM 가격 상승은 2026~28년에는 메모리 업체의 초과이익을 만들지만, 지나치면 2028년 이후 효율화·대체 기술을 촉진하는 양날의 검.'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· 글로벌 투자자가 AI 비중을 줄일 생각은 임계점 도달 전에는 하기 어려움. 선호 순서: 빅테크 → 파운드리 → 메모리 / 미국 → 일본 → 한국.</w:t>
            </w:r>
          </w:p>
        </w:tc>
      </w:tr>
    </w:tbl>
    <w:p>
      <w:pPr>
        <w:spacing w:before="0" w:after="4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9751"/>
            <w:shd w:val="clear" w:color="auto" w:fill="0F2043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5.  밸류에이션 — 컨센서스와 보수 시나리오</w:t>
            </w:r>
          </w:p>
        </w:tc>
      </w:tr>
    </w:tbl>
    <w:p>
      <w:pPr>
        <w:spacing w:before="0" w:after="4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438"/>
        <w:gridCol w:w="2438"/>
        <w:gridCol w:w="2438"/>
        <w:gridCol w:w="2438"/>
      </w:tblGrid>
      <w:tr>
        <w:tc>
          <w:tcPr>
            <w:tcW w:type="dxa" w:w="2041"/>
            <w:shd w:val="clear" w:color="auto" w:fill="0F2043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2494"/>
            <w:shd w:val="clear" w:color="auto" w:fill="0F2043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영업이익 (컨센)</w:t>
            </w:r>
          </w:p>
        </w:tc>
        <w:tc>
          <w:tcPr>
            <w:tcW w:type="dxa" w:w="2494"/>
            <w:shd w:val="clear" w:color="auto" w:fill="0F2043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EPS (컨센)</w:t>
            </w:r>
          </w:p>
        </w:tc>
        <w:tc>
          <w:tcPr>
            <w:tcW w:type="dxa" w:w="2721"/>
            <w:shd w:val="clear" w:color="auto" w:fill="0F2043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보수적 시나리오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SK하이닉스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(본주 150만원)</w:t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26년 266조 / 27년 392조</w:t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26년 346K / 27년 437K</w:t>
            </w:r>
          </w:p>
        </w:tc>
        <w:tc>
          <w:tcPr>
            <w:tcW w:type="dxa" w:w="2721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영업이익 250~260조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EPS 290~300K → 27년 PER 5.1배</w:t>
            </w:r>
          </w:p>
        </w:tc>
      </w:tr>
      <w:tr>
        <w:tc>
          <w:tcPr>
            <w:tcW w:type="dxa" w:w="2041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삼성전자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(24.75만원)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26년 391조 / 27년 549조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26년 47.9K / 27년 67.2K</w:t>
            </w:r>
          </w:p>
        </w:tc>
        <w:tc>
          <w:tcPr>
            <w:tcW w:type="dxa" w:w="2721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영업이익 355~370조</w:t>
            </w:r>
          </w:p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EPS 43~45K → 27년 PER 5.6배</w:t>
            </w:r>
          </w:p>
        </w:tc>
      </w:tr>
    </w:tbl>
    <w:p>
      <w:pPr>
        <w:spacing w:before="0" w:after="40"/>
        <w:jc w:val="left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35282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er_compari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28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[차트 10] 메모리 PER 비교 — 하이닉스 본주가 가장 낮은 구간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32059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arget_band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20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[차트 11] '27년 성장 제로' 보수 가정 + 사이클 PER 6~7배 적용 밴드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9751"/>
            <w:shd w:val="clear" w:color="auto" w:fill="0F2043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6.  산업 · 종목 브리핑</w:t>
            </w:r>
          </w:p>
        </w:tc>
      </w:tr>
    </w:tbl>
    <w:p>
      <w:pPr>
        <w:spacing w:before="0" w:after="40"/>
        <w:jc w:val="left"/>
      </w:pPr>
    </w:p>
    <w:p>
      <w:pPr>
        <w:spacing w:before="160" w:after="60"/>
        <w:jc w:val="left"/>
      </w:pPr>
      <w:r>
        <w:rPr>
          <w:rFonts w:ascii="맑은 고딕" w:hAnsi="맑은 고딕" w:eastAsia="맑은 고딕"/>
          <w:b/>
          <w:i w:val="0"/>
          <w:color w:val="B8943A"/>
          <w:sz w:val="24"/>
        </w:rPr>
        <w:t>▎</w:t>
      </w:r>
      <w:r>
        <w:rPr>
          <w:rFonts w:ascii="맑은 고딕" w:hAnsi="맑은 고딕" w:eastAsia="맑은 고딕"/>
          <w:b/>
          <w:i w:val="0"/>
          <w:color w:val="1E407C"/>
          <w:sz w:val="23"/>
        </w:rPr>
        <w:t>6-1. 8/19 미국장 — 자금의 피벗 (AI·반도체 → 헬스케어)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29882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us_mov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88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[차트 12] 장기금리 하락에도 기술주 약세 — 금리보다 강한 섹터 로테이션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E0"/>
          <w:left w:val="single" w:sz="4" w:space="0" w:color="C9D2E0"/>
          <w:bottom w:val="single" w:sz="4" w:space="0" w:color="C9D2E0"/>
          <w:right w:val="single" w:sz="4" w:space="0" w:color="C9D2E0"/>
          <w:insideH w:val="single" w:sz="4" w:space="0" w:color="C9D2E0"/>
          <w:insideV w:val="single" w:sz="4" w:space="0" w:color="C9D2E0"/>
        </w:tblBorders>
      </w:tblPr>
      <w:tblGrid>
        <w:gridCol w:w="9751"/>
      </w:tblGrid>
      <w:tr>
        <w:tc>
          <w:tcPr>
            <w:tcW w:type="dxa" w:w="9751"/>
            <w:shd w:val="clear" w:color="auto" w:fill="EEF2F8"/>
          </w:tcPr>
          <w:p>
            <w:pPr>
              <w:spacing w:before="60"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1"/>
              </w:rPr>
              <w:t>왜 중요한가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· 국채 바이백 → 장기금리 안정은 기술주에 우호적 환경이지만, AI·반도체 → 헬스케어 자금 이동이 이를 상쇄.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· 모더나: MSD 키트루다 병용 개인맞춤형 mRNA 항암백신 임상 3상 성공 → NBI +4.86% 역사적 신고가. 국내 관련주: 알테오젠, 에스티팜, 올릭스 등.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· 한국 투자자 관점: '장기금리 하락' 안도보다, AI·반도체에서 자금이 계속 빠지는지 + 8/26 엔비디아 실적 전 심리 재강화 여부 확인이 더 중요.</w:t>
            </w:r>
          </w:p>
        </w:tc>
      </w:tr>
    </w:tbl>
    <w:p>
      <w:pPr>
        <w:spacing w:before="0" w:after="40"/>
        <w:jc w:val="left"/>
      </w:pPr>
    </w:p>
    <w:p>
      <w:pPr>
        <w:spacing w:before="160" w:after="60"/>
        <w:jc w:val="left"/>
      </w:pPr>
      <w:r>
        <w:rPr>
          <w:rFonts w:ascii="맑은 고딕" w:hAnsi="맑은 고딕" w:eastAsia="맑은 고딕"/>
          <w:b/>
          <w:i w:val="0"/>
          <w:color w:val="B8943A"/>
          <w:sz w:val="24"/>
        </w:rPr>
        <w:t>▎</w:t>
      </w:r>
      <w:r>
        <w:rPr>
          <w:rFonts w:ascii="맑은 고딕" w:hAnsi="맑은 고딕" w:eastAsia="맑은 고딕"/>
          <w:b/>
          <w:i w:val="0"/>
          <w:color w:val="1E407C"/>
          <w:sz w:val="23"/>
        </w:rPr>
        <w:t>6-2. Marvell × Google — TPU 생태계 공동 확장 (마벨 +9.9% / 브로드컴 -4.6%)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876"/>
        <w:gridCol w:w="4876"/>
      </w:tblGrid>
      <w:tr>
        <w:tc>
          <w:tcPr>
            <w:tcW w:type="dxa" w:w="1814"/>
            <w:shd w:val="clear" w:color="auto" w:fill="0F2043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7937"/>
            <w:shd w:val="clear" w:color="auto" w:fill="0F2043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협력 확대</w:t>
            </w:r>
          </w:p>
        </w:tc>
        <w:tc>
          <w:tcPr>
            <w:tcW w:type="dxa" w:w="7937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7/29 커스텀 반도체 협력 확대 — AI 추론 가속기 + Storage Controller + NIC + Memory Interface Controller + Near-memory Compute로 TPU 주변 생태계 전체 확장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Warrant 발행</w:t>
            </w:r>
          </w:p>
        </w:tc>
        <w:tc>
          <w:tcPr>
            <w:tcW w:type="dxa" w:w="7937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Google에 최대 5,897만주 매입권 부여, 행사가 $206.58 — 주가 상승 시 Google의 잠재적 이해관계 확대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Vesting 조건</w:t>
            </w:r>
          </w:p>
        </w:tc>
        <w:tc>
          <w:tcPr>
            <w:tcW w:type="dxa" w:w="7937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Google 관련 Custom Products 매출 $5억마다 1 tranche — 매출 증가와 Marvell 주식 보상 연동. 기간 FY2027 Q3~FY2033 (장기 계약 성격)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함의</w:t>
            </w:r>
          </w:p>
        </w:tc>
        <w:tc>
          <w:tcPr>
            <w:tcW w:type="dxa" w:w="7937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마벨의 커스텀 ASIC 사업이 '칩 설계'에서 AI 인프라 전반으로 확대 가능성 + 브로드컴의 Google TPU 독점 지위에 대한 견제 신호</w:t>
            </w:r>
          </w:p>
        </w:tc>
      </w:tr>
    </w:tbl>
    <w:p>
      <w:pPr>
        <w:spacing w:before="0" w:after="40"/>
        <w:jc w:val="left"/>
      </w:pPr>
    </w:p>
    <w:p>
      <w:pPr>
        <w:spacing w:before="160" w:after="60"/>
        <w:jc w:val="left"/>
      </w:pPr>
      <w:r>
        <w:rPr>
          <w:rFonts w:ascii="맑은 고딕" w:hAnsi="맑은 고딕" w:eastAsia="맑은 고딕"/>
          <w:b/>
          <w:i w:val="0"/>
          <w:color w:val="B8943A"/>
          <w:sz w:val="24"/>
        </w:rPr>
        <w:t>▎</w:t>
      </w:r>
      <w:r>
        <w:rPr>
          <w:rFonts w:ascii="맑은 고딕" w:hAnsi="맑은 고딕" w:eastAsia="맑은 고딕"/>
          <w:b/>
          <w:i w:val="0"/>
          <w:color w:val="1E407C"/>
          <w:sz w:val="23"/>
        </w:rPr>
        <w:t>6-3. 삼성전자 — 첨단 파운드리 가격 최대 15% 인상 (로이터)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322193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oundry_pri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221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[차트 13] 공정별 신규 주문 가격 인상률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E0"/>
          <w:left w:val="single" w:sz="4" w:space="0" w:color="C9D2E0"/>
          <w:bottom w:val="single" w:sz="4" w:space="0" w:color="C9D2E0"/>
          <w:right w:val="single" w:sz="4" w:space="0" w:color="C9D2E0"/>
          <w:insideH w:val="single" w:sz="4" w:space="0" w:color="C9D2E0"/>
          <w:insideV w:val="single" w:sz="4" w:space="0" w:color="C9D2E0"/>
        </w:tblBorders>
      </w:tblPr>
      <w:tblGrid>
        <w:gridCol w:w="9751"/>
      </w:tblGrid>
      <w:tr>
        <w:tc>
          <w:tcPr>
            <w:tcW w:type="dxa" w:w="9751"/>
            <w:shd w:val="clear" w:color="auto" w:fill="E8F5E9"/>
          </w:tcPr>
          <w:p>
            <w:pPr>
              <w:spacing w:before="60"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1"/>
              </w:rPr>
              <w:t>전망 — 삼성전자에 긍정적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· 흑자 전환 기대: 2022년 이후 적자였던 파운드리가 단가 인상 + 수율 개선 + 가동률 상승으로 이르면 내년 흑자 전환 전망.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· 올해 파운드리 매출 중 첨단공정 비중 절반 초과, AI·HPC 비중 30% 이상으로 확대 (2025년 말 15~20%).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· 고객: 테슬라·애플·브로드컴 계약 + 엔비디아 신규 AI 추론 칩 수주 + 구글과 4나노 생산 협의 중.</w:t>
            </w:r>
          </w:p>
        </w:tc>
      </w:tr>
    </w:tbl>
    <w:p>
      <w:pPr>
        <w:spacing w:before="0" w:after="40"/>
        <w:jc w:val="left"/>
      </w:pPr>
    </w:p>
    <w:p>
      <w:pPr>
        <w:spacing w:before="160" w:after="60"/>
        <w:jc w:val="left"/>
      </w:pPr>
      <w:r>
        <w:rPr>
          <w:rFonts w:ascii="맑은 고딕" w:hAnsi="맑은 고딕" w:eastAsia="맑은 고딕"/>
          <w:b/>
          <w:i w:val="0"/>
          <w:color w:val="B8943A"/>
          <w:sz w:val="24"/>
        </w:rPr>
        <w:t>▎</w:t>
      </w:r>
      <w:r>
        <w:rPr>
          <w:rFonts w:ascii="맑은 고딕" w:hAnsi="맑은 고딕" w:eastAsia="맑은 고딕"/>
          <w:b/>
          <w:i w:val="0"/>
          <w:color w:val="1E407C"/>
          <w:sz w:val="23"/>
        </w:rPr>
        <w:t>6-4. 이수페타시스 — 2Q26 컨센 상회, 'Multi-Lam 이익 레버리지'가 핵심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29567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isu_petasy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56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[차트 14] Multi-Lam 비중 상승 + Capa 로드맵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E0"/>
          <w:left w:val="single" w:sz="4" w:space="0" w:color="C9D2E0"/>
          <w:bottom w:val="single" w:sz="4" w:space="0" w:color="C9D2E0"/>
          <w:right w:val="single" w:sz="4" w:space="0" w:color="C9D2E0"/>
          <w:insideH w:val="single" w:sz="4" w:space="0" w:color="C9D2E0"/>
          <w:insideV w:val="single" w:sz="4" w:space="0" w:color="C9D2E0"/>
        </w:tblBorders>
      </w:tblPr>
      <w:tblGrid>
        <w:gridCol w:w="9751"/>
      </w:tblGrid>
      <w:tr>
        <w:tc>
          <w:tcPr>
            <w:tcW w:type="dxa" w:w="9751"/>
            <w:shd w:val="clear" w:color="auto" w:fill="EEF2F8"/>
          </w:tcPr>
          <w:p>
            <w:pPr>
              <w:spacing w:before="60"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1"/>
              </w:rPr>
              <w:t>투자 논리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· ① Capa 확대 + ② Multi-Lam 비중 상승(수주잔고 20%+) + ③ 수율 개선 + ④ 하반기 평균 +15% 판가 인상 = 양적 + 질적 성장 동시 진행.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· 4Q부터 G사 제품 Multi-Lam 전환 + M사 ASIC 양산 본격화. 2027년 영업이익 컨센 대비 +10% 전후 상향 여지 — 시장이 레버리지를 과소평가.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· Multi-Lam = 여러 겹 회로층을 쌓은 고다층 PCB. AI 서버·가속기·고속 스위치용 → 단가↑ 난이도↑ 진입장벽↑ 수익성↑.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· '이제 Capa 증설만 보는 회사가 아니라 이익 레버리지를 봐야 한다' — 주가 조정 = 실적 상향 국면의 매수 기회 논리 가능.</w:t>
            </w:r>
          </w:p>
        </w:tc>
      </w:tr>
    </w:tbl>
    <w:p>
      <w:pPr>
        <w:spacing w:before="0" w:after="40"/>
        <w:jc w:val="left"/>
      </w:pPr>
    </w:p>
    <w:p>
      <w:pPr>
        <w:spacing w:before="160" w:after="60"/>
        <w:jc w:val="left"/>
      </w:pPr>
      <w:r>
        <w:rPr>
          <w:rFonts w:ascii="맑은 고딕" w:hAnsi="맑은 고딕" w:eastAsia="맑은 고딕"/>
          <w:b/>
          <w:i w:val="0"/>
          <w:color w:val="B8943A"/>
          <w:sz w:val="24"/>
        </w:rPr>
        <w:t>▎</w:t>
      </w:r>
      <w:r>
        <w:rPr>
          <w:rFonts w:ascii="맑은 고딕" w:hAnsi="맑은 고딕" w:eastAsia="맑은 고딕"/>
          <w:b/>
          <w:i w:val="0"/>
          <w:color w:val="1E407C"/>
          <w:sz w:val="23"/>
        </w:rPr>
        <w:t>6-5. 기가비스 — FC-BGA 검사·수리 장비 글로벌 Top-tier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3232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gigavi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23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[차트 15] 2026년 실적 레버리지 전망 (메리츠증권)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E0"/>
          <w:left w:val="single" w:sz="4" w:space="0" w:color="C9D2E0"/>
          <w:bottom w:val="single" w:sz="4" w:space="0" w:color="C9D2E0"/>
          <w:right w:val="single" w:sz="4" w:space="0" w:color="C9D2E0"/>
          <w:insideH w:val="single" w:sz="4" w:space="0" w:color="C9D2E0"/>
          <w:insideV w:val="single" w:sz="4" w:space="0" w:color="C9D2E0"/>
        </w:tblBorders>
      </w:tblPr>
      <w:tblGrid>
        <w:gridCol w:w="9751"/>
      </w:tblGrid>
      <w:tr>
        <w:tc>
          <w:tcPr>
            <w:tcW w:type="dxa" w:w="9751"/>
            <w:shd w:val="clear" w:color="auto" w:fill="EEF2F8"/>
          </w:tcPr>
          <w:p>
            <w:pPr>
              <w:spacing w:before="60"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1"/>
              </w:rPr>
              <w:t>요약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· AOI(불량을 찾는 장비) + AOR(찾은 불량을 레이저로 고치는 장비) — 고사양 FC-BGA 기판의 '눈'과 '수리공', 독점적 성격.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· 연결고리: AI → FC-BGA 고사양화·증설(이비덴·신코·유니마이크론·삼성전기 CAPEX) → 기가비스 수주 → 매출/영업 레버리지.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· 8/18 일본 기판업체향 89.5억원(매출 대비 17.1%) 공급계약. 증권사 컨센 TP 19만원선.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· 단, 26년 실적 기준으로는 비쌈 — 27년 성장 잠재력이 초점. 적정 안전마진 고려한 분할접근 후보.</w:t>
            </w:r>
          </w:p>
        </w:tc>
      </w:tr>
    </w:tbl>
    <w:p>
      <w:pPr>
        <w:spacing w:before="0" w:after="40"/>
        <w:jc w:val="left"/>
      </w:pPr>
    </w:p>
    <w:p>
      <w:pPr>
        <w:spacing w:before="160" w:after="60"/>
        <w:jc w:val="left"/>
      </w:pPr>
      <w:r>
        <w:rPr>
          <w:rFonts w:ascii="맑은 고딕" w:hAnsi="맑은 고딕" w:eastAsia="맑은 고딕"/>
          <w:b/>
          <w:i w:val="0"/>
          <w:color w:val="B8943A"/>
          <w:sz w:val="24"/>
        </w:rPr>
        <w:t>▎</w:t>
      </w:r>
      <w:r>
        <w:rPr>
          <w:rFonts w:ascii="맑은 고딕" w:hAnsi="맑은 고딕" w:eastAsia="맑은 고딕"/>
          <w:b/>
          <w:i w:val="0"/>
          <w:color w:val="1E407C"/>
          <w:sz w:val="23"/>
        </w:rPr>
        <w:t>6-6. LS — 자회사 이익 체력의 구조적 상승 (키움증권)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327372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ls_subsidiari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273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[차트 16] 2Q26 자회사별 영업이익 — 2개 분기 연속 사상 최대</w:t>
      </w:r>
    </w:p>
    <w:p>
      <w:pPr>
        <w:spacing w:before="160" w:after="60"/>
        <w:jc w:val="left"/>
      </w:pPr>
      <w:r>
        <w:rPr>
          <w:rFonts w:ascii="맑은 고딕" w:hAnsi="맑은 고딕" w:eastAsia="맑은 고딕"/>
          <w:b/>
          <w:i w:val="0"/>
          <w:color w:val="B8943A"/>
          <w:sz w:val="24"/>
        </w:rPr>
        <w:t>▎</w:t>
      </w:r>
      <w:r>
        <w:rPr>
          <w:rFonts w:ascii="맑은 고딕" w:hAnsi="맑은 고딕" w:eastAsia="맑은 고딕"/>
          <w:b/>
          <w:i w:val="0"/>
          <w:color w:val="1E407C"/>
          <w:sz w:val="23"/>
        </w:rPr>
        <w:t>6-7. 기타 주요 뉴스 한 줄 정리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876"/>
        <w:gridCol w:w="4876"/>
      </w:tblGrid>
      <w:tr>
        <w:tc>
          <w:tcPr>
            <w:tcW w:type="dxa" w:w="1928"/>
            <w:shd w:val="clear" w:color="auto" w:fill="0F2043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종목/테마</w:t>
            </w:r>
          </w:p>
        </w:tc>
        <w:tc>
          <w:tcPr>
            <w:tcW w:type="dxa" w:w="7824"/>
            <w:shd w:val="clear" w:color="auto" w:fill="0F2043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한화에어로스페이스</w:t>
            </w:r>
          </w:p>
        </w:tc>
        <w:tc>
          <w:tcPr>
            <w:tcW w:type="dxa" w:w="7824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미 육군 자주포 현대화(MTC) 시제기 단독 수주 — 집행 $1억(옵션 포함 $2.6억), 최대 18문. 평가 후 양산 직결 시 10조원 규모 사업 진입 + 차륜형 레퍼런스 확보</w:t>
            </w:r>
          </w:p>
        </w:tc>
      </w:tr>
      <w:tr>
        <w:tc>
          <w:tcPr>
            <w:tcW w:type="dxa" w:w="1928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LG에너지솔루션</w:t>
            </w:r>
          </w:p>
        </w:tc>
        <w:tc>
          <w:tcPr>
            <w:tcW w:type="dxa" w:w="7824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북미 EV용 8개 공장 중 5곳 ESS 전환, 연말 ESS 흑자 목표. 테슬라 메가팩에 $43억 LFP 셀 공급(내년~). 미 정부·방산업체와 드론용 배터리 협의 — 방산이 새 성장축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알테오젠</w:t>
            </w:r>
          </w:p>
        </w:tc>
        <w:tc>
          <w:tcPr>
            <w:tcW w:type="dxa" w:w="7824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키트루다SC 2Q 매출 $4.63억(출시 3개 분기). 엑셀리시스가 외부사 최초로 키트루다SC 병용 3상 착수 → 로열티 산정 기반 확대. 엔허투 폐암 1차 청신호로 ADC SC 가치 부각</w:t>
            </w:r>
          </w:p>
        </w:tc>
      </w:tr>
      <w:tr>
        <w:tc>
          <w:tcPr>
            <w:tcW w:type="dxa" w:w="1928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유니트리 (중국)</w:t>
            </w:r>
          </w:p>
        </w:tc>
        <w:tc>
          <w:tcPr>
            <w:tcW w:type="dxa" w:w="7824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커촹반 상장 첫날 공모가 대비 5배 급등. 종가 시총 3,418억위안 ÷ 26년 매출 약 22억위안 = PSR 155배 — '성장률 2배 초과 아니면 PSR 60배 이하' 프레임의 약 2.6배. 상업화 초기 단계 유의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자사주 매입 사례</w:t>
            </w:r>
          </w:p>
        </w:tc>
        <w:tc>
          <w:tcPr>
            <w:tcW w:type="dxa" w:w="7824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키옥시아: 8/3~10 8,000억엔 집행, 발표 후 누적 +7.4%. 샌디스크: $140억 한도 확대 — 8/13 Investor Day 재평가가 반등의 본질, Buyback은 EPS 레버리지 요인</w:t>
            </w:r>
          </w:p>
        </w:tc>
      </w:tr>
    </w:tbl>
    <w:p>
      <w:pPr>
        <w:spacing w:before="0" w:after="4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9751"/>
            <w:shd w:val="clear" w:color="auto" w:fill="0F2043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7.  NVIDIA Q2 FY27 실적 프리뷰 (8/26) — Beat보다 'CAPEX 지속 가능성'과 'Rubin'</w:t>
            </w:r>
          </w:p>
        </w:tc>
      </w:tr>
    </w:tbl>
    <w:p>
      <w:pPr>
        <w:spacing w:before="0" w:after="40"/>
        <w:jc w:val="left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6811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nvidia_preview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68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[차트 17] 분기 매출 전망 — 성장률 둔화에도 절대 규모는 폭발적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876"/>
        <w:gridCol w:w="4876"/>
      </w:tblGrid>
      <w:tr>
        <w:tc>
          <w:tcPr>
            <w:tcW w:type="dxa" w:w="2381"/>
            <w:shd w:val="clear" w:color="auto" w:fill="0F2043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관전 포인트</w:t>
            </w:r>
          </w:p>
        </w:tc>
        <w:tc>
          <w:tcPr>
            <w:tcW w:type="dxa" w:w="7370"/>
            <w:shd w:val="clear" w:color="auto" w:fill="0F2043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① AI 인프라 수요</w:t>
            </w:r>
          </w:p>
        </w:tc>
        <w:tc>
          <w:tcPr>
            <w:tcW w:type="dxa" w:w="7370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성장률 둔화(+90% → +77%)가 시작돼도 절대 매출은 $108B → $120B로 증가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② Hyperscaler CAPEX</w:t>
            </w:r>
          </w:p>
        </w:tc>
        <w:tc>
          <w:tcPr>
            <w:tcW w:type="dxa" w:w="7370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Top 5의 2027년 CAPEX ≥ $1T (약 +33%) — Rubin 출시와 맞물려 초기 공급 부족 가능성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③ 순환 금융 논쟁</w:t>
            </w:r>
          </w:p>
        </w:tc>
        <w:tc>
          <w:tcPr>
            <w:tcW w:type="dxa" w:w="7370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NVIDIA → AI 기업 투자/금융 지원 → GPU 구매 → NVIDIA 매출. 'AI 수요가 실제 최종 수요인가, 금융으로 만들어진 수요인가' — 젠슨 황의 설명이 중요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④ 마진</w:t>
            </w:r>
          </w:p>
        </w:tc>
        <w:tc>
          <w:tcPr>
            <w:tcW w:type="dxa" w:w="7370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75% 수준 Gross Margin 유지 여부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⑤ Blackwell → Rubin</w:t>
            </w:r>
          </w:p>
        </w:tc>
        <w:tc>
          <w:tcPr>
            <w:tcW w:type="dxa" w:w="7370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3Q26 생산·출하. Full rack-scale, 7개 purpose-built chips, 추론 처리량 최대 35배, AI Factory 매출 기회 최대 10배. 랙 가격 $7~8.5M(Blackwell Ultra 대비 약 2배) → 성능 + ASP 동시 상승</w:t>
            </w:r>
          </w:p>
        </w:tc>
      </w:tr>
    </w:tbl>
    <w:p>
      <w:pPr>
        <w:spacing w:before="0" w:after="4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E0"/>
          <w:left w:val="single" w:sz="4" w:space="0" w:color="C9D2E0"/>
          <w:bottom w:val="single" w:sz="4" w:space="0" w:color="C9D2E0"/>
          <w:right w:val="single" w:sz="4" w:space="0" w:color="C9D2E0"/>
          <w:insideH w:val="single" w:sz="4" w:space="0" w:color="C9D2E0"/>
          <w:insideV w:val="single" w:sz="4" w:space="0" w:color="C9D2E0"/>
        </w:tblBorders>
      </w:tblPr>
      <w:tblGrid>
        <w:gridCol w:w="9751"/>
      </w:tblGrid>
      <w:tr>
        <w:tc>
          <w:tcPr>
            <w:tcW w:type="dxa" w:w="9751"/>
            <w:shd w:val="clear" w:color="auto" w:fill="FFF8E7"/>
          </w:tcPr>
          <w:p>
            <w:pPr>
              <w:spacing w:before="60"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1"/>
              </w:rPr>
              <w:t>참고 — OpenAI 2Q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매출 $6.7B(+18% QoQ)로 기대 성장률에 미달, 영업손실 $9.3B → $12.3B 확대 → AI CAPEX 투자 회수기간 장기화 우려가 SOX -2.12%로 연결된 바 있음.</w:t>
            </w:r>
          </w:p>
        </w:tc>
      </w:tr>
    </w:tbl>
    <w:p>
      <w:pPr>
        <w:spacing w:before="0" w:after="4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9751"/>
            <w:shd w:val="clear" w:color="auto" w:fill="0F2043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8.  모니터링 체크리스트</w:t>
            </w:r>
          </w:p>
        </w:tc>
      </w:tr>
    </w:tbl>
    <w:p>
      <w:pPr>
        <w:spacing w:before="0" w:after="4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3251"/>
        <w:gridCol w:w="3251"/>
        <w:gridCol w:w="3251"/>
      </w:tblGrid>
      <w:tr>
        <w:tc>
          <w:tcPr>
            <w:tcW w:type="dxa" w:w="1928"/>
            <w:shd w:val="clear" w:color="auto" w:fill="0F2043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변수</w:t>
            </w:r>
          </w:p>
        </w:tc>
        <w:tc>
          <w:tcPr>
            <w:tcW w:type="dxa" w:w="3742"/>
            <w:shd w:val="clear" w:color="auto" w:fill="0F2043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긍정 시그널</w:t>
            </w:r>
          </w:p>
        </w:tc>
        <w:tc>
          <w:tcPr>
            <w:tcW w:type="dxa" w:w="4082"/>
            <w:shd w:val="clear" w:color="auto" w:fill="0F2043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경계 시그널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미 10년물 금리</w:t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4.7% 이하 안정</w:t>
            </w:r>
          </w:p>
        </w:tc>
        <w:tc>
          <w:tcPr>
            <w:tcW w:type="dxa" w:w="4082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5.0% 돌파·고착 → 위험자산 전반 회피</w:t>
            </w:r>
          </w:p>
        </w:tc>
      </w:tr>
      <w:tr>
        <w:tc>
          <w:tcPr>
            <w:tcW w:type="dxa" w:w="1928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유가 (브렌트)</w:t>
            </w:r>
          </w:p>
        </w:tc>
        <w:tc>
          <w:tcPr>
            <w:tcW w:type="dxa" w:w="3742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$90 전후 안정</w:t>
            </w:r>
          </w:p>
        </w:tc>
        <w:tc>
          <w:tcPr>
            <w:tcW w:type="dxa" w:w="4082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$100 이상 → 인플레·금리 악순환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엔/달러</w:t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157~159 수준 유지·반등</w:t>
            </w:r>
          </w:p>
        </w:tc>
        <w:tc>
          <w:tcPr>
            <w:tcW w:type="dxa" w:w="4082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150 초반 급락 + 닛케이·코스피 동반 급락 → 엔캐리 청산 의심</w:t>
            </w:r>
          </w:p>
        </w:tc>
      </w:tr>
      <w:tr>
        <w:tc>
          <w:tcPr>
            <w:tcW w:type="dxa" w:w="1928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달러-원</w:t>
            </w:r>
          </w:p>
        </w:tc>
        <w:tc>
          <w:tcPr>
            <w:tcW w:type="dxa" w:w="3742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완만한 하락</w:t>
            </w:r>
          </w:p>
        </w:tc>
        <w:tc>
          <w:tcPr>
            <w:tcW w:type="dxa" w:w="4082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가파른 하락 → 3Q 수출주 이익 역풍 / 외국인 매도 확대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미·이란</w:t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소강·종전 임박</w:t>
            </w:r>
          </w:p>
        </w:tc>
        <w:tc>
          <w:tcPr>
            <w:tcW w:type="dxa" w:w="4082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확전(유럽 내 미군 자산·호르무즈 해저 인프라) → 유가·금리 재점화</w:t>
            </w:r>
          </w:p>
        </w:tc>
      </w:tr>
      <w:tr>
        <w:tc>
          <w:tcPr>
            <w:tcW w:type="dxa" w:w="1928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8/26 엔비디아</w:t>
            </w:r>
          </w:p>
        </w:tc>
        <w:tc>
          <w:tcPr>
            <w:tcW w:type="dxa" w:w="3742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CAPEX 지속성 + Rubin 램프업 확인 → AI 심리 재강화</w:t>
            </w:r>
          </w:p>
        </w:tc>
        <w:tc>
          <w:tcPr>
            <w:tcW w:type="dxa" w:w="4082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순환금융 우려 확산, 헬스케어 로테이션 지속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SK하이닉스 3Q 발표</w:t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추가 환원 규모·특별배당 구체화</w:t>
            </w:r>
          </w:p>
        </w:tc>
        <w:tc>
          <w:tcPr>
            <w:tcW w:type="dxa" w:w="4082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FCF 50% 약속 이행 지연 — '지키지 않으면 큰일 나는' 눈높이</w:t>
            </w:r>
          </w:p>
        </w:tc>
      </w:tr>
      <w:tr>
        <w:tc>
          <w:tcPr>
            <w:tcW w:type="dxa" w:w="1928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삼성전자</w:t>
            </w:r>
          </w:p>
        </w:tc>
        <w:tc>
          <w:tcPr>
            <w:tcW w:type="dxa" w:w="3742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하이닉스發 주주환원 기대 현실화</w:t>
            </w:r>
          </w:p>
        </w:tc>
        <w:tc>
          <w:tcPr>
            <w:tcW w:type="dxa" w:w="4082"/>
            <w:shd w:val="clear" w:color="auto" w:fill="F7F9FC"/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기대 미달 시 실망 매물</w:t>
            </w:r>
          </w:p>
        </w:tc>
      </w:tr>
    </w:tbl>
    <w:p>
      <w:pPr>
        <w:spacing w:before="0" w:after="4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E0"/>
          <w:left w:val="single" w:sz="4" w:space="0" w:color="C9D2E0"/>
          <w:bottom w:val="single" w:sz="4" w:space="0" w:color="C9D2E0"/>
          <w:right w:val="single" w:sz="4" w:space="0" w:color="C9D2E0"/>
          <w:insideH w:val="single" w:sz="4" w:space="0" w:color="C9D2E0"/>
          <w:insideV w:val="single" w:sz="4" w:space="0" w:color="C9D2E0"/>
        </w:tblBorders>
      </w:tblPr>
      <w:tblGrid>
        <w:gridCol w:w="9751"/>
      </w:tblGrid>
      <w:tr>
        <w:tc>
          <w:tcPr>
            <w:tcW w:type="dxa" w:w="9751"/>
            <w:shd w:val="clear" w:color="auto" w:fill="EEF2F8"/>
          </w:tcPr>
          <w:p>
            <w:pPr>
              <w:spacing w:before="60"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4B5563"/>
                <w:sz w:val="21"/>
              </w:rPr>
              <w:t>유의사항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4B5563"/>
                <w:sz w:val="19"/>
              </w:rPr>
              <w:t>본 자료는 8/19 Quick 코멘트 채널의 내용을 정리·시각화한 참고 자료이며, 매수·매도의 추천이 아닙니다. 수치는 채널 코멘트 기준(컨센서스·추정 포함)으로 실제와 다를 수 있습니다. 투자에 따른 판단과 책임은 각자의 몫이며, 법적 자료로 활용할 수 없습니다.</w:t>
            </w:r>
          </w:p>
        </w:tc>
      </w:tr>
    </w:tbl>
    <w:p>
      <w:pPr>
        <w:spacing w:before="0" w:after="40"/>
        <w:jc w:val="left"/>
      </w:pP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