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before="0" w:line="283" w:lineRule="auto"/>
        <w:jc w:val="center"/>
      </w:pPr>
      <w:r>
        <w:rPr>
          <w:rFonts w:ascii="맑은 고딕" w:hAnsi="맑은 고딕" w:eastAsia="맑은 고딕"/>
          <w:b w:val="0"/>
          <w:i w:val="0"/>
          <w:color w:val="4B5563"/>
          <w:sz w:val="20"/>
        </w:rPr>
        <w:t>2026. 8. 19.  |  장 마감 이후 업데이트 포함</w:t>
      </w:r>
    </w:p>
    <w:p>
      <w:pPr>
        <w:spacing w:after="60" w:before="0" w:line="283" w:lineRule="auto"/>
        <w:jc w:val="center"/>
      </w:pPr>
      <w:r>
        <w:rPr>
          <w:rFonts w:ascii="맑은 고딕" w:hAnsi="맑은 고딕" w:eastAsia="맑은 고딕"/>
          <w:b/>
          <w:i w:val="0"/>
          <w:color w:val="0F2043"/>
          <w:sz w:val="48"/>
        </w:rPr>
        <w:t>시장전략 보고서</w:t>
      </w:r>
    </w:p>
    <w:p>
      <w:pPr>
        <w:spacing w:after="100" w:before="0" w:line="283" w:lineRule="auto"/>
        <w:jc w:val="center"/>
      </w:pPr>
      <w:r>
        <w:rPr>
          <w:rFonts w:ascii="맑은 고딕" w:hAnsi="맑은 고딕" w:eastAsia="맑은 고딕"/>
          <w:b/>
          <w:i w:val="0"/>
          <w:color w:val="1E407C"/>
          <w:sz w:val="34"/>
        </w:rPr>
        <w:t>매크로의 역습과 반도체의 방어선</w:t>
      </w:r>
    </w:p>
    <w:p>
      <w:pPr>
        <w:spacing w:after="240" w:before="0" w:line="283" w:lineRule="auto"/>
        <w:jc w:val="center"/>
      </w:pPr>
      <w:r>
        <w:rPr>
          <w:rFonts w:ascii="맑은 고딕" w:hAnsi="맑은 고딕" w:eastAsia="맑은 고딕"/>
          <w:b w:val="0"/>
          <w:i w:val="0"/>
          <w:color w:val="4B5563"/>
          <w:sz w:val="21"/>
        </w:rPr>
        <w:t>유가 · 미 국채금리 · 엔화 · 원화  |  HBM · ASIC · 파운드리  |  SK하이닉스 주주환원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EEF2F8"/>
            <w:tcBorders>
              <w:top w:val="nil"/>
              <w:left w:val="single" w:sz="28" w:space="0" w:color="0F2043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before="0"/>
            </w:pPr>
            <w:r/>
            <w:r>
              <w:rPr>
                <w:rFonts w:ascii="맑은 고딕" w:hAnsi="맑은 고딕" w:eastAsia="맑은 고딕"/>
                <w:b/>
                <w:i w:val="0"/>
                <w:color w:val="0F2043"/>
                <w:sz w:val="20"/>
              </w:rPr>
              <w:t>EXECUTIVE VIEW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이번 조정의 1차 성격은 AI 수요 훼손보다 ‘유가발 장기금리 쇼크 + 포지션 조정’에 가깝습니다.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단기 방어선은 미 10년물 4.7%와 브렌트유 $90, 위험선은 각각 5.0%와 $100입니다. USD/JPY가 150 초반으로 빠르게 내려가면 엔캐리 청산 경계가 한 단계 올라갑니다.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반도체 내부에서는 SK하이닉스의 40조원 자사주 매입·소각, 삼성 파운드리 가격 인상, Multi-Lam/검사장비 수요가 펀더멘털 방어선입니다.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다만 원화 강세는 수출주 EPS의 역풍입니다. 달러-원 1,520→1,420 가정 시 제공 민감도로 삼성전자 약 -2.6%, SK하이닉스 약 -5.9%입니다.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오늘의 결론 — 투자 판단을 가르는 4개 문장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1417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축</w:t>
            </w:r>
          </w:p>
        </w:tc>
        <w:tc>
          <w:tcPr>
            <w:tcW w:type="dxa" w:w="4649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판단</w:t>
            </w:r>
          </w:p>
        </w:tc>
        <w:tc>
          <w:tcPr>
            <w:tcW w:type="dxa" w:w="3855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다음 확인</w:t>
            </w:r>
          </w:p>
        </w:tc>
      </w:tr>
      <w:tr>
        <w:trPr>
          <w:cantSplit/>
        </w:trPr>
        <w:tc>
          <w:tcPr>
            <w:tcW w:type="dxa" w:w="1417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매크로</w:t>
            </w:r>
          </w:p>
        </w:tc>
        <w:tc>
          <w:tcPr>
            <w:tcW w:type="dxa" w:w="4649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전쟁 → 유가 → 금리의 연결고리가 주가를 압도</w:t>
            </w:r>
          </w:p>
        </w:tc>
        <w:tc>
          <w:tcPr>
            <w:tcW w:type="dxa" w:w="385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10Y 4.7% / 5.0%, Brent $90 / $100</w:t>
            </w:r>
          </w:p>
        </w:tc>
      </w:tr>
      <w:tr>
        <w:trPr>
          <w:cantSplit/>
        </w:trPr>
        <w:tc>
          <w:tcPr>
            <w:tcW w:type="dxa" w:w="1417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수급</w:t>
            </w:r>
          </w:p>
        </w:tc>
        <w:tc>
          <w:tcPr>
            <w:tcW w:type="dxa" w:w="4649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금리 하락만으로 기술주가 오르지 않음: 바이오로 일부 로테이션</w:t>
            </w:r>
          </w:p>
        </w:tc>
        <w:tc>
          <w:tcPr>
            <w:tcW w:type="dxa" w:w="3855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SOX 상대수익률, NVIDIA 8/26 실적</w:t>
            </w:r>
          </w:p>
        </w:tc>
      </w:tr>
      <w:tr>
        <w:trPr>
          <w:cantSplit/>
        </w:trPr>
        <w:tc>
          <w:tcPr>
            <w:tcW w:type="dxa" w:w="1417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반도체</w:t>
            </w:r>
          </w:p>
        </w:tc>
        <w:tc>
          <w:tcPr>
            <w:tcW w:type="dxa" w:w="4649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AI CAPEX 궤도는 유지되나 HBM 효율화·ASIC 재편 논쟁 확대</w:t>
            </w:r>
          </w:p>
        </w:tc>
        <w:tc>
          <w:tcPr>
            <w:tcW w:type="dxa" w:w="385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연산 증가율 vs 메모리 효율 개선률</w:t>
            </w:r>
          </w:p>
        </w:tc>
      </w:tr>
      <w:tr>
        <w:trPr>
          <w:cantSplit/>
        </w:trPr>
        <w:tc>
          <w:tcPr>
            <w:tcW w:type="dxa" w:w="1417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한국</w:t>
            </w:r>
          </w:p>
        </w:tc>
        <w:tc>
          <w:tcPr>
            <w:tcW w:type="dxa" w:w="4649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주주환원은 하방을 보강하지만 원화 강세가 EPS를 상쇄</w:t>
            </w:r>
          </w:p>
        </w:tc>
        <w:tc>
          <w:tcPr>
            <w:tcW w:type="dxa" w:w="3855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달러-원 1,400/1,360, 외국인 수급</w:t>
            </w:r>
          </w:p>
        </w:tc>
      </w:tr>
    </w:tbl>
    <w:p>
      <w:pPr>
        <w:spacing w:after="160" w:before="40"/>
      </w:pPr>
    </w:p>
    <w:p>
      <w:r>
        <w:br w:type="page"/>
      </w:r>
    </w:p>
    <w:p>
      <w:pPr>
        <w:spacing w:before="280" w:after="160" w:line="264" w:lineRule="auto"/>
        <w:pBdr>
          <w:bottom w:val="single" w:sz="12" w:space="4" w:color="0F2043"/>
        </w:pBdr>
      </w:pPr>
      <w:r>
        <w:rPr>
          <w:rFonts w:ascii="맑은 고딕" w:hAnsi="맑은 고딕" w:eastAsia="맑은 고딕"/>
          <w:b/>
          <w:i w:val="0"/>
          <w:color w:val="B8943A"/>
          <w:sz w:val="32"/>
        </w:rPr>
        <w:t xml:space="preserve">1.  </w:t>
      </w:r>
      <w:r>
        <w:rPr>
          <w:rFonts w:ascii="맑은 고딕" w:hAnsi="맑은 고딕" w:eastAsia="맑은 고딕"/>
          <w:b/>
          <w:i w:val="0"/>
          <w:color w:val="0F2043"/>
          <w:sz w:val="32"/>
        </w:rPr>
        <w:t>시장 국면: 매크로가 펀더멘털을 덮은 날</w:t>
      </w:r>
    </w:p>
    <w:p>
      <w:pPr>
        <w:spacing w:before="80" w:after="160" w:line="288" w:lineRule="auto"/>
        <w:jc w:val="center"/>
      </w:pPr>
      <w:r>
        <w:rPr>
          <w:rFonts w:ascii="맑은 고딕" w:hAnsi="맑은 고딕" w:eastAsia="맑은 고딕"/>
          <w:b/>
          <w:i w:val="0"/>
          <w:color w:val="0F2043"/>
          <w:sz w:val="22"/>
        </w:rPr>
        <w:t>미·이란 확전 우려</w:t>
      </w:r>
      <w:r>
        <w:rPr>
          <w:rFonts w:ascii="맑은 고딕" w:hAnsi="맑은 고딕" w:eastAsia="맑은 고딕"/>
          <w:b/>
          <w:i w:val="0"/>
          <w:color w:val="B8943A"/>
          <w:sz w:val="22"/>
        </w:rPr>
        <w:t xml:space="preserve">   →   </w:t>
      </w:r>
      <w:r>
        <w:rPr>
          <w:rFonts w:ascii="맑은 고딕" w:hAnsi="맑은 고딕" w:eastAsia="맑은 고딕"/>
          <w:b/>
          <w:i w:val="0"/>
          <w:color w:val="0F2043"/>
          <w:sz w:val="22"/>
        </w:rPr>
        <w:t>호르무즈 리스크</w:t>
      </w:r>
      <w:r>
        <w:rPr>
          <w:rFonts w:ascii="맑은 고딕" w:hAnsi="맑은 고딕" w:eastAsia="맑은 고딕"/>
          <w:b/>
          <w:i w:val="0"/>
          <w:color w:val="B8943A"/>
          <w:sz w:val="22"/>
        </w:rPr>
        <w:t xml:space="preserve">   →   </w:t>
      </w:r>
      <w:r>
        <w:rPr>
          <w:rFonts w:ascii="맑은 고딕" w:hAnsi="맑은 고딕" w:eastAsia="맑은 고딕"/>
          <w:b/>
          <w:i w:val="0"/>
          <w:color w:val="0F2043"/>
          <w:sz w:val="22"/>
        </w:rPr>
        <w:t>유가 상승</w:t>
      </w:r>
      <w:r>
        <w:rPr>
          <w:rFonts w:ascii="맑은 고딕" w:hAnsi="맑은 고딕" w:eastAsia="맑은 고딕"/>
          <w:b/>
          <w:i w:val="0"/>
          <w:color w:val="B8943A"/>
          <w:sz w:val="22"/>
        </w:rPr>
        <w:t xml:space="preserve">   →   </w:t>
      </w:r>
      <w:r>
        <w:rPr>
          <w:rFonts w:ascii="맑은 고딕" w:hAnsi="맑은 고딕" w:eastAsia="맑은 고딕"/>
          <w:b/>
          <w:i w:val="0"/>
          <w:color w:val="0F2043"/>
          <w:sz w:val="22"/>
        </w:rPr>
        <w:t>인플레이션 우려</w:t>
      </w:r>
      <w:r>
        <w:rPr>
          <w:rFonts w:ascii="맑은 고딕" w:hAnsi="맑은 고딕" w:eastAsia="맑은 고딕"/>
          <w:b/>
          <w:i w:val="0"/>
          <w:color w:val="B8943A"/>
          <w:sz w:val="22"/>
        </w:rPr>
        <w:t xml:space="preserve">   →   </w:t>
      </w:r>
      <w:r>
        <w:rPr>
          <w:rFonts w:ascii="맑은 고딕" w:hAnsi="맑은 고딕" w:eastAsia="맑은 고딕"/>
          <w:b/>
          <w:i w:val="0"/>
          <w:color w:val="0F2043"/>
          <w:sz w:val="22"/>
        </w:rPr>
        <w:t>장기금리 상승</w:t>
      </w:r>
      <w:r>
        <w:rPr>
          <w:rFonts w:ascii="맑은 고딕" w:hAnsi="맑은 고딕" w:eastAsia="맑은 고딕"/>
          <w:b/>
          <w:i w:val="0"/>
          <w:color w:val="B8943A"/>
          <w:sz w:val="22"/>
        </w:rPr>
        <w:t xml:space="preserve">   →   </w:t>
      </w:r>
      <w:r>
        <w:rPr>
          <w:rFonts w:ascii="맑은 고딕" w:hAnsi="맑은 고딕" w:eastAsia="맑은 고딕"/>
          <w:b/>
          <w:i w:val="0"/>
          <w:color w:val="0F2043"/>
          <w:sz w:val="22"/>
        </w:rPr>
        <w:t>AI·반도체 할인율 압박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6120000" cy="287322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macro_threshold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8732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40"/>
        <w:jc w:val="center"/>
      </w:pPr>
      <w:r>
        <w:rPr>
          <w:rFonts w:ascii="맑은 고딕" w:hAnsi="맑은 고딕" w:eastAsia="맑은 고딕"/>
          <w:b w:val="0"/>
          <w:i w:val="0"/>
          <w:color w:val="4B5563"/>
          <w:sz w:val="17"/>
        </w:rPr>
        <w:t>※ 구간은 제공 코멘트의 투자 프레임을 시각화한 것이며 실시간 시세가 아닙니다.</w:t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왜 반도체가 더 크게 흔들렸나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고PER 성장주는 장기 현금흐름의 듀레이션이 길어 할인율 상승에 민감합니다.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그러나 메모리는 이미 사이클 특성을 반영한 낮은 PER이어서 ‘금리 하나만으로’ 낙폭을 설명하기에는 부족합니다.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최근 2주 급반등 이후 차익실현, 외국인 현·선물 수급, AI 롱 포지션 피로가 동시에 작용한 것으로 보는 편이 타당합니다.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E8F1FB"/>
            <w:tcBorders>
              <w:top w:val="nil"/>
              <w:left w:val="single" w:sz="28" w:space="0" w:color="1E407C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before="0"/>
            </w:pPr>
            <w:r/>
            <w:r>
              <w:rPr>
                <w:rFonts w:ascii="맑은 고딕" w:hAnsi="맑은 고딕" w:eastAsia="맑은 고딕"/>
                <w:b/>
                <w:i w:val="0"/>
                <w:color w:val="1E407C"/>
                <w:sz w:val="20"/>
              </w:rPr>
              <w:t>판단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현재까지는 AI CAPEX 훼손보다 유가·금리·포지션의 복합 쇼크. 10년물 4.7% 아래 안착 여부가 가장 빠른 확인 지표입니다.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미 재무부 바이백: 단기 방어, 구조적 해결은 아님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1701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효과</w:t>
            </w:r>
          </w:p>
        </w:tc>
        <w:tc>
          <w:tcPr>
            <w:tcW w:type="dxa" w:w="4025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단기</w:t>
            </w:r>
          </w:p>
        </w:tc>
        <w:tc>
          <w:tcPr>
            <w:tcW w:type="dxa" w:w="4195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한계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장기채 수급</w:t>
            </w:r>
          </w:p>
        </w:tc>
        <w:tc>
          <w:tcPr>
            <w:tcW w:type="dxa" w:w="402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장기채 수요 보강 → 금리 급등 속도 완화</w:t>
            </w:r>
          </w:p>
        </w:tc>
        <w:tc>
          <w:tcPr>
            <w:tcW w:type="dxa" w:w="419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재정적자와 발행 증가를 없애지는 못함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위험자산</w:t>
            </w:r>
          </w:p>
        </w:tc>
        <w:tc>
          <w:tcPr>
            <w:tcW w:type="dxa" w:w="4025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할인율 진정 → 성장주에 우호적</w:t>
            </w:r>
          </w:p>
        </w:tc>
        <w:tc>
          <w:tcPr>
            <w:tcW w:type="dxa" w:w="4195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섹터 로테이션이 효과를 상쇄할 수 있음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정책 신호</w:t>
            </w:r>
          </w:p>
        </w:tc>
        <w:tc>
          <w:tcPr>
            <w:tcW w:type="dxa" w:w="402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금리 급등을 좌시하지 않겠다는 신호</w:t>
            </w:r>
          </w:p>
        </w:tc>
        <w:tc>
          <w:tcPr>
            <w:tcW w:type="dxa" w:w="419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Fed의 매파적 반응과 별개</w:t>
            </w:r>
          </w:p>
        </w:tc>
      </w:tr>
    </w:tbl>
    <w:p>
      <w:pPr>
        <w:spacing w:after="160" w:before="40"/>
      </w:pPr>
    </w:p>
    <w:p>
      <w:r>
        <w:br w:type="page"/>
      </w:r>
    </w:p>
    <w:p>
      <w:pPr>
        <w:spacing w:before="280" w:after="160" w:line="264" w:lineRule="auto"/>
        <w:pBdr>
          <w:bottom w:val="single" w:sz="12" w:space="4" w:color="0F2043"/>
        </w:pBdr>
      </w:pPr>
      <w:r>
        <w:rPr>
          <w:rFonts w:ascii="맑은 고딕" w:hAnsi="맑은 고딕" w:eastAsia="맑은 고딕"/>
          <w:b/>
          <w:i w:val="0"/>
          <w:color w:val="B8943A"/>
          <w:sz w:val="32"/>
        </w:rPr>
        <w:t xml:space="preserve">2.  </w:t>
      </w:r>
      <w:r>
        <w:rPr>
          <w:rFonts w:ascii="맑은 고딕" w:hAnsi="맑은 고딕" w:eastAsia="맑은 고딕"/>
          <w:b/>
          <w:i w:val="0"/>
          <w:color w:val="0F2043"/>
          <w:sz w:val="32"/>
        </w:rPr>
        <w:t>엔캐리: ‘일본 금리’보다 엔화 속도가 중요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6120000" cy="3731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arry_shoc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731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40"/>
        <w:jc w:val="center"/>
      </w:pPr>
      <w:r>
        <w:rPr>
          <w:rFonts w:ascii="맑은 고딕" w:hAnsi="맑은 고딕" w:eastAsia="맑은 고딕"/>
          <w:b w:val="0"/>
          <w:i w:val="0"/>
          <w:color w:val="4B5563"/>
          <w:sz w:val="17"/>
        </w:rPr>
        <w:t>제공 코멘트의 2024년 7/31→8/5 수치를 사용한 비교.</w:t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현재와 2024년 8월형 쇼크를 구분하는 체크포인트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1701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구분</w:t>
            </w:r>
          </w:p>
        </w:tc>
        <w:tc>
          <w:tcPr>
            <w:tcW w:type="dxa" w:w="4082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정상화 흡수</w:t>
            </w:r>
          </w:p>
        </w:tc>
        <w:tc>
          <w:tcPr>
            <w:tcW w:type="dxa" w:w="4139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캐리 청산 경계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USD/JPY</w:t>
            </w:r>
          </w:p>
        </w:tc>
        <w:tc>
          <w:tcPr>
            <w:tcW w:type="dxa" w:w="4082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157~159에서 안정·반등</w:t>
            </w:r>
          </w:p>
        </w:tc>
        <w:tc>
          <w:tcPr>
            <w:tcW w:type="dxa" w:w="4139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159→155→150 초반으로 급락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미국 금리</w:t>
            </w:r>
          </w:p>
        </w:tc>
        <w:tc>
          <w:tcPr>
            <w:tcW w:type="dxa" w:w="4082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안정 또는 완만한 움직임</w:t>
            </w:r>
          </w:p>
        </w:tc>
        <w:tc>
          <w:tcPr>
            <w:tcW w:type="dxa" w:w="4139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미 금리 하락과 엔화 급등 동시 발생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일본 국채</w:t>
            </w:r>
          </w:p>
        </w:tc>
        <w:tc>
          <w:tcPr>
            <w:tcW w:type="dxa" w:w="4082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입찰 견조, 변동성 제한</w:t>
            </w:r>
          </w:p>
        </w:tc>
        <w:tc>
          <w:tcPr>
            <w:tcW w:type="dxa" w:w="4139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입찰 부진·장기금리 급등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주식</w:t>
            </w:r>
          </w:p>
        </w:tc>
        <w:tc>
          <w:tcPr>
            <w:tcW w:type="dxa" w:w="4082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밸류에이션 조정</w:t>
            </w:r>
          </w:p>
        </w:tc>
        <w:tc>
          <w:tcPr>
            <w:tcW w:type="dxa" w:w="4139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Nikkei·KOSPI 동반 투매</w:t>
            </w:r>
          </w:p>
        </w:tc>
      </w:tr>
    </w:tbl>
    <w:p>
      <w:pPr>
        <w:spacing w:after="160" w:before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FFF8E7"/>
            <w:tcBorders>
              <w:top w:val="nil"/>
              <w:left w:val="single" w:sz="28" w:space="0" w:color="B8943A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before="0"/>
            </w:pPr>
            <w:r/>
            <w:r>
              <w:rPr>
                <w:rFonts w:ascii="맑은 고딕" w:hAnsi="맑은 고딕" w:eastAsia="맑은 고딕"/>
                <w:b/>
                <w:i w:val="0"/>
                <w:color w:val="7A5C12"/>
                <w:sz w:val="20"/>
              </w:rPr>
              <w:t>해석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USD/JPY가 높은 수준을 유지하면 1차 충격은 ‘글로벌 금리 상승/밸류에이션 압박’입니다.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엔화가 짧은 기간 강하게 절상되고 주식이 동반 급락하면 레버리지 청산 가능성을 본격적으로 의심해야 합니다.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before="280" w:after="160" w:line="264" w:lineRule="auto"/>
        <w:pBdr>
          <w:bottom w:val="single" w:sz="12" w:space="4" w:color="0F2043"/>
        </w:pBdr>
      </w:pPr>
      <w:r>
        <w:rPr>
          <w:rFonts w:ascii="맑은 고딕" w:hAnsi="맑은 고딕" w:eastAsia="맑은 고딕"/>
          <w:b/>
          <w:i w:val="0"/>
          <w:color w:val="B8943A"/>
          <w:sz w:val="32"/>
        </w:rPr>
        <w:t xml:space="preserve">3.  </w:t>
      </w:r>
      <w:r>
        <w:rPr>
          <w:rFonts w:ascii="맑은 고딕" w:hAnsi="맑은 고딕" w:eastAsia="맑은 고딕"/>
          <w:b/>
          <w:i w:val="0"/>
          <w:color w:val="0F2043"/>
          <w:sz w:val="32"/>
        </w:rPr>
        <w:t>달러-원: 국내 달러 공급이 먼저 움직였다</w:t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1,400원 아래로 내려온 경로</w:t>
      </w:r>
    </w:p>
    <w:p>
      <w:pPr>
        <w:spacing w:before="80" w:after="160" w:line="288" w:lineRule="auto"/>
        <w:jc w:val="center"/>
      </w:pPr>
      <w:r>
        <w:rPr>
          <w:rFonts w:ascii="맑은 고딕" w:hAnsi="맑은 고딕" w:eastAsia="맑은 고딕"/>
          <w:b/>
          <w:i w:val="0"/>
          <w:color w:val="0F2043"/>
          <w:sz w:val="22"/>
        </w:rPr>
        <w:t>8월 말 법인세·설비투자 원화 수요</w:t>
      </w:r>
      <w:r>
        <w:rPr>
          <w:rFonts w:ascii="맑은 고딕" w:hAnsi="맑은 고딕" w:eastAsia="맑은 고딕"/>
          <w:b/>
          <w:i w:val="0"/>
          <w:color w:val="B8943A"/>
          <w:sz w:val="22"/>
        </w:rPr>
        <w:t xml:space="preserve">   →   </w:t>
      </w:r>
      <w:r>
        <w:rPr>
          <w:rFonts w:ascii="맑은 고딕" w:hAnsi="맑은 고딕" w:eastAsia="맑은 고딕"/>
          <w:b/>
          <w:i w:val="0"/>
          <w:color w:val="0F2043"/>
          <w:sz w:val="22"/>
        </w:rPr>
        <w:t>수출기업 달러 매도</w:t>
      </w:r>
      <w:r>
        <w:rPr>
          <w:rFonts w:ascii="맑은 고딕" w:hAnsi="맑은 고딕" w:eastAsia="맑은 고딕"/>
          <w:b/>
          <w:i w:val="0"/>
          <w:color w:val="B8943A"/>
          <w:sz w:val="22"/>
        </w:rPr>
        <w:t xml:space="preserve">   →   </w:t>
      </w:r>
      <w:r>
        <w:rPr>
          <w:rFonts w:ascii="맑은 고딕" w:hAnsi="맑은 고딕" w:eastAsia="맑은 고딕"/>
          <w:b/>
          <w:i w:val="0"/>
          <w:color w:val="0F2043"/>
          <w:sz w:val="22"/>
        </w:rPr>
        <w:t>환헤지 비중 상승</w:t>
      </w:r>
      <w:r>
        <w:rPr>
          <w:rFonts w:ascii="맑은 고딕" w:hAnsi="맑은 고딕" w:eastAsia="맑은 고딕"/>
          <w:b/>
          <w:i w:val="0"/>
          <w:color w:val="B8943A"/>
          <w:sz w:val="22"/>
        </w:rPr>
        <w:t xml:space="preserve">   →   </w:t>
      </w:r>
      <w:r>
        <w:rPr>
          <w:rFonts w:ascii="맑은 고딕" w:hAnsi="맑은 고딕" w:eastAsia="맑은 고딕"/>
          <w:b/>
          <w:i w:val="0"/>
          <w:color w:val="0F2043"/>
          <w:sz w:val="22"/>
        </w:rPr>
        <w:t>고환율 추가 매도</w:t>
      </w:r>
      <w:r>
        <w:rPr>
          <w:rFonts w:ascii="맑은 고딕" w:hAnsi="맑은 고딕" w:eastAsia="맑은 고딕"/>
          <w:b/>
          <w:i w:val="0"/>
          <w:color w:val="B8943A"/>
          <w:sz w:val="22"/>
        </w:rPr>
        <w:t xml:space="preserve">   →   </w:t>
      </w:r>
      <w:r>
        <w:rPr>
          <w:rFonts w:ascii="맑은 고딕" w:hAnsi="맑은 고딕" w:eastAsia="맑은 고딕"/>
          <w:b/>
          <w:i w:val="0"/>
          <w:color w:val="0F2043"/>
          <w:sz w:val="22"/>
        </w:rPr>
        <w:t>달러-원 하락 가속</w:t>
      </w:r>
    </w:p>
    <w:p>
      <w:pPr>
        <w:spacing w:after="120" w:before="0" w:line="283" w:lineRule="auto"/>
        <w:jc w:val="left"/>
      </w:pPr>
      <w:r>
        <w:rPr>
          <w:rFonts w:ascii="맑은 고딕" w:hAnsi="맑은 고딕" w:eastAsia="맑은 고딕"/>
          <w:b w:val="0"/>
          <w:i w:val="0"/>
          <w:color w:val="1A1A1A"/>
          <w:sz w:val="22"/>
        </w:rPr>
        <w:t>이번 원화 강세는 달러인덱스와 엔화만으로 설명하기 어렵습니다. 핵심은 국내 달러 공급이 강해 달러-원이 먼저 하락했다는 수급 해석입니다.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1701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시나리오</w:t>
            </w:r>
          </w:p>
        </w:tc>
        <w:tc>
          <w:tcPr>
            <w:tcW w:type="dxa" w:w="4706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조건</w:t>
            </w:r>
          </w:p>
        </w:tc>
        <w:tc>
          <w:tcPr>
            <w:tcW w:type="dxa" w:w="3515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달러-원 함의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기본</w:t>
            </w:r>
          </w:p>
        </w:tc>
        <w:tc>
          <w:tcPr>
            <w:tcW w:type="dxa" w:w="4706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국내 달러 공급 지속</w:t>
            </w:r>
          </w:p>
        </w:tc>
        <w:tc>
          <w:tcPr>
            <w:tcW w:type="dxa" w:w="351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1,400원 하회 유지 가능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추가 하락</w:t>
            </w:r>
          </w:p>
        </w:tc>
        <w:tc>
          <w:tcPr>
            <w:tcW w:type="dxa" w:w="4706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Fed 인상 기대 되돌림 → DXY 99→96~97</w:t>
            </w:r>
          </w:p>
        </w:tc>
        <w:tc>
          <w:tcPr>
            <w:tcW w:type="dxa" w:w="3515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약 1,360원 하단 가능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강한 원화</w:t>
            </w:r>
          </w:p>
        </w:tc>
        <w:tc>
          <w:tcPr>
            <w:tcW w:type="dxa" w:w="4706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약달러 + 국내 공급 동시</w:t>
            </w:r>
          </w:p>
        </w:tc>
        <w:tc>
          <w:tcPr>
            <w:tcW w:type="dxa" w:w="351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1,340원대 조건부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제동</w:t>
            </w:r>
          </w:p>
        </w:tc>
        <w:tc>
          <w:tcPr>
            <w:tcW w:type="dxa" w:w="4706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외국인 주식 매도·유가 상승·1,350원대 달러 수요</w:t>
            </w:r>
          </w:p>
        </w:tc>
        <w:tc>
          <w:tcPr>
            <w:tcW w:type="dxa" w:w="3515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추가 하락 제한</w:t>
            </w:r>
          </w:p>
        </w:tc>
      </w:tr>
    </w:tbl>
    <w:p>
      <w:pPr>
        <w:spacing w:after="160" w:before="40"/>
      </w:pP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6120000" cy="35956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fx_ep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595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40"/>
        <w:jc w:val="center"/>
      </w:pPr>
      <w:r>
        <w:rPr>
          <w:rFonts w:ascii="맑은 고딕" w:hAnsi="맑은 고딕" w:eastAsia="맑은 고딕"/>
          <w:b w:val="0"/>
          <w:i w:val="0"/>
          <w:color w:val="4B5563"/>
          <w:sz w:val="17"/>
        </w:rPr>
        <w:t>단순 선형 민감도. 실제 EPS는 환헤지·통화별 매출/비용·가격 전가에 따라 달라질 수 있습니다.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FFF8E7"/>
            <w:tcBorders>
              <w:top w:val="nil"/>
              <w:left w:val="single" w:sz="28" w:space="0" w:color="B8943A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before="0"/>
            </w:pPr>
            <w:r/>
            <w:r>
              <w:rPr>
                <w:rFonts w:ascii="맑은 고딕" w:hAnsi="맑은 고딕" w:eastAsia="맑은 고딕"/>
                <w:b/>
                <w:i w:val="0"/>
                <w:color w:val="7A5C12"/>
                <w:sz w:val="20"/>
              </w:rPr>
              <w:t>원문 오기 교정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원문에는 ‘삼성전자 환율 민감도’ 설명 뒤에도 SK하이닉스가 반복 표기되어 있습니다.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문맥과 -5.9% 산식을 기준으로 삼성전자 +0.4%, SK하이닉스 +0.9%로 정리했습니다.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before="280" w:after="160" w:line="264" w:lineRule="auto"/>
        <w:pBdr>
          <w:bottom w:val="single" w:sz="12" w:space="4" w:color="0F2043"/>
        </w:pBdr>
      </w:pPr>
      <w:r>
        <w:rPr>
          <w:rFonts w:ascii="맑은 고딕" w:hAnsi="맑은 고딕" w:eastAsia="맑은 고딕"/>
          <w:b/>
          <w:i w:val="0"/>
          <w:color w:val="B8943A"/>
          <w:sz w:val="32"/>
        </w:rPr>
        <w:t xml:space="preserve">4.  </w:t>
      </w:r>
      <w:r>
        <w:rPr>
          <w:rFonts w:ascii="맑은 고딕" w:hAnsi="맑은 고딕" w:eastAsia="맑은 고딕"/>
          <w:b/>
          <w:i w:val="0"/>
          <w:color w:val="0F2043"/>
          <w:sz w:val="32"/>
        </w:rPr>
        <w:t>SK하이닉스: 40조 소각과 FCF 50% 이상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EEF2F8"/>
            <w:tcBorders>
              <w:top w:val="nil"/>
              <w:left w:val="single" w:sz="28" w:space="0" w:color="0F2043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before="0"/>
            </w:pPr>
            <w:r/>
            <w:r>
              <w:rPr>
                <w:rFonts w:ascii="맑은 고딕" w:hAnsi="맑은 고딕" w:eastAsia="맑은 고딕"/>
                <w:b/>
                <w:i w:val="0"/>
                <w:color w:val="0F2043"/>
                <w:sz w:val="20"/>
              </w:rPr>
              <w:t>핵심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40조원 자사주를 8/20~11/19 매입 후 전량 소각. 총주식의 약 3.3%, 동일 순이익 가정 시 EPS 약 +3.4%.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2025~2027 누적 FCF의 ‘50% 범위 내’가 아니라 ‘50% 이상’을 환원. 자사주와 현금배당을 병행하고 특별배당도 검토.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구체적 추가 환원 규모와 방식은 3Q26 실적 발표 시 이사회 결의를 거쳐 안내 예정.</w:t>
            </w:r>
          </w:p>
        </w:tc>
      </w:tr>
    </w:tbl>
    <w:p>
      <w:pPr>
        <w:spacing w:after="120"/>
      </w:pP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6120000" cy="298245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hareholder_retur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9824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FCF 숫자: 반드시 두 시나리오를 분리해야 한다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6120000" cy="341600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fcf_reconcilia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160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40"/>
        <w:jc w:val="center"/>
      </w:pPr>
      <w:r>
        <w:rPr>
          <w:rFonts w:ascii="맑은 고딕" w:hAnsi="맑은 고딕" w:eastAsia="맑은 고딕"/>
          <w:b w:val="0"/>
          <w:i w:val="0"/>
          <w:color w:val="4B5563"/>
          <w:sz w:val="17"/>
        </w:rPr>
        <w:t>단순 산술 검증. 실제 FCF·배당가능이익·이사회 결의에 따라 달라집니다.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2324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입력</w:t>
            </w:r>
          </w:p>
        </w:tc>
        <w:tc>
          <w:tcPr>
            <w:tcW w:type="dxa" w:w="3005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산식</w:t>
            </w:r>
          </w:p>
        </w:tc>
        <w:tc>
          <w:tcPr>
            <w:tcW w:type="dxa" w:w="2154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50% 기준</w:t>
            </w:r>
          </w:p>
        </w:tc>
        <w:tc>
          <w:tcPr>
            <w:tcW w:type="dxa" w:w="2438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40조 제외 추가분</w:t>
            </w:r>
          </w:p>
        </w:tc>
      </w:tr>
      <w:tr>
        <w:trPr>
          <w:cantSplit/>
        </w:trPr>
        <w:tc>
          <w:tcPr>
            <w:tcW w:type="dxa" w:w="232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누적 FCF 385조</w:t>
            </w:r>
          </w:p>
        </w:tc>
        <w:tc>
          <w:tcPr>
            <w:tcW w:type="dxa" w:w="300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385 × 50%</w:t>
            </w:r>
          </w:p>
        </w:tc>
        <w:tc>
          <w:tcPr>
            <w:tcW w:type="dxa" w:w="215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192.5조</w:t>
            </w:r>
          </w:p>
        </w:tc>
        <w:tc>
          <w:tcPr>
            <w:tcW w:type="dxa" w:w="243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152.5조</w:t>
            </w:r>
          </w:p>
        </w:tc>
      </w:tr>
      <w:tr>
        <w:trPr>
          <w:cantSplit/>
        </w:trPr>
        <w:tc>
          <w:tcPr>
            <w:tcW w:type="dxa" w:w="232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연도별 150/210/205조</w:t>
            </w:r>
          </w:p>
        </w:tc>
        <w:tc>
          <w:tcPr>
            <w:tcW w:type="dxa" w:w="3005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합계 565 × 50%</w:t>
            </w:r>
          </w:p>
        </w:tc>
        <w:tc>
          <w:tcPr>
            <w:tcW w:type="dxa" w:w="215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282.5조</w:t>
            </w:r>
          </w:p>
        </w:tc>
        <w:tc>
          <w:tcPr>
            <w:tcW w:type="dxa" w:w="243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242.5조</w:t>
            </w:r>
          </w:p>
        </w:tc>
      </w:tr>
    </w:tbl>
    <w:p>
      <w:pPr>
        <w:spacing w:after="160" w:before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FDECEA"/>
            <w:tcBorders>
              <w:top w:val="nil"/>
              <w:left w:val="single" w:sz="28" w:space="0" w:color="991B1B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before="0"/>
            </w:pPr>
            <w:r/>
            <w:r>
              <w:rPr>
                <w:rFonts w:ascii="맑은 고딕" w:hAnsi="맑은 고딕" w:eastAsia="맑은 고딕"/>
                <w:b/>
                <w:i w:val="0"/>
                <w:color w:val="991B1B"/>
                <w:sz w:val="20"/>
              </w:rPr>
              <w:t>산술 불일치 교정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‘150 + 210 + 205 = 누적 385조’는 성립하지 않습니다. 합계는 565조입니다.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따라서 192.5조 환원 결론은 누적 FCF 385조 시나리오에만 해당합니다.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2028년 102.5조는 회사 정책이 아니라 별도 FCF 모델에 50%를 적용한 참고치입니다. 2028 정책은 새로 발표돼야 합니다.</w:t>
            </w:r>
          </w:p>
        </w:tc>
      </w:tr>
    </w:tbl>
    <w:p>
      <w:pPr>
        <w:spacing w:after="120"/>
      </w:pPr>
    </w:p>
    <w:p>
      <w:pPr>
        <w:spacing w:before="280" w:after="160" w:line="264" w:lineRule="auto"/>
        <w:pBdr>
          <w:bottom w:val="single" w:sz="12" w:space="4" w:color="0F2043"/>
        </w:pBdr>
      </w:pPr>
      <w:r>
        <w:rPr>
          <w:rFonts w:ascii="맑은 고딕" w:hAnsi="맑은 고딕" w:eastAsia="맑은 고딕"/>
          <w:b/>
          <w:i w:val="0"/>
          <w:color w:val="B8943A"/>
          <w:sz w:val="32"/>
        </w:rPr>
        <w:t xml:space="preserve">5.  </w:t>
      </w:r>
      <w:r>
        <w:rPr>
          <w:rFonts w:ascii="맑은 고딕" w:hAnsi="맑은 고딕" w:eastAsia="맑은 고딕"/>
          <w:b/>
          <w:i w:val="0"/>
          <w:color w:val="0F2043"/>
          <w:sz w:val="32"/>
        </w:rPr>
        <w:t>HBM 논쟁: 수요 절벽이 아니라 효율화의 경제성</w:t>
      </w:r>
    </w:p>
    <w:p>
      <w:pPr>
        <w:spacing w:after="120" w:before="0" w:line="283" w:lineRule="auto"/>
        <w:jc w:val="left"/>
      </w:pPr>
      <w:r>
        <w:rPr>
          <w:rFonts w:ascii="맑은 고딕" w:hAnsi="맑은 고딕" w:eastAsia="맑은 고딕"/>
          <w:b w:val="0"/>
          <w:i w:val="0"/>
          <w:color w:val="1A1A1A"/>
          <w:sz w:val="22"/>
        </w:rPr>
        <w:t>“HBM 가격이 올랐으니 수요가 곧 꺾인다”는 단정은 약합니다. 더 정확한 명제는 “가격이 높을수록 HBM 사용량을 줄이는 기술 개발의 경제적 유인이 커진다”입니다.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6120000" cy="339481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memory_balanc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948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40"/>
        <w:jc w:val="center"/>
      </w:pPr>
      <w:r>
        <w:rPr>
          <w:rFonts w:ascii="맑은 고딕" w:hAnsi="맑은 고딕" w:eastAsia="맑은 고딕"/>
          <w:b w:val="0"/>
          <w:i w:val="0"/>
          <w:color w:val="4B5563"/>
          <w:sz w:val="17"/>
        </w:rPr>
        <w:t>방향성 비교이며 수요량을 직접 계산한 값이 아닙니다.</w:t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대체가 아니라 메모리 계층의 재배치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2551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기술/구조</w:t>
            </w:r>
          </w:p>
        </w:tc>
        <w:tc>
          <w:tcPr>
            <w:tcW w:type="dxa" w:w="1531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현실성</w:t>
            </w:r>
          </w:p>
        </w:tc>
        <w:tc>
          <w:tcPr>
            <w:tcW w:type="dxa" w:w="5669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의미</w:t>
            </w:r>
          </w:p>
        </w:tc>
      </w:tr>
      <w:tr>
        <w:trPr>
          <w:cantSplit/>
        </w:trPr>
        <w:tc>
          <w:tcPr>
            <w:tcW w:type="dxa" w:w="255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Cerebras 온칩 SRAM</w:t>
            </w:r>
          </w:p>
        </w:tc>
        <w:tc>
          <w:tcPr>
            <w:tcW w:type="dxa" w:w="153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높음</w:t>
            </w:r>
          </w:p>
        </w:tc>
        <w:tc>
          <w:tcPr>
            <w:tcW w:type="dxa" w:w="5669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HBM 없이 대규모 온칩 메모리 활용</w:t>
            </w:r>
          </w:p>
        </w:tc>
      </w:tr>
      <w:tr>
        <w:trPr>
          <w:cantSplit/>
        </w:trPr>
        <w:tc>
          <w:tcPr>
            <w:tcW w:type="dxa" w:w="255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Groq SRAM 중심 추론</w:t>
            </w:r>
          </w:p>
        </w:tc>
        <w:tc>
          <w:tcPr>
            <w:tcW w:type="dxa" w:w="153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높음</w:t>
            </w:r>
          </w:p>
        </w:tc>
        <w:tc>
          <w:tcPr>
            <w:tcW w:type="dxa" w:w="5669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결정론적·저지연 추론에 최적화</w:t>
            </w:r>
          </w:p>
        </w:tc>
      </w:tr>
      <w:tr>
        <w:trPr>
          <w:cantSplit/>
        </w:trPr>
        <w:tc>
          <w:tcPr>
            <w:tcW w:type="dxa" w:w="255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KV Cache 압축</w:t>
            </w:r>
          </w:p>
        </w:tc>
        <w:tc>
          <w:tcPr>
            <w:tcW w:type="dxa" w:w="153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높음</w:t>
            </w:r>
          </w:p>
        </w:tc>
        <w:tc>
          <w:tcPr>
            <w:tcW w:type="dxa" w:w="5669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필요 HBM 용량과 대역폭 절감</w:t>
            </w:r>
          </w:p>
        </w:tc>
      </w:tr>
      <w:tr>
        <w:trPr>
          <w:cantSplit/>
        </w:trPr>
        <w:tc>
          <w:tcPr>
            <w:tcW w:type="dxa" w:w="255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CPU DRAM·SSD 오프로딩</w:t>
            </w:r>
          </w:p>
        </w:tc>
        <w:tc>
          <w:tcPr>
            <w:tcW w:type="dxa" w:w="153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진행 중</w:t>
            </w:r>
          </w:p>
        </w:tc>
        <w:tc>
          <w:tcPr>
            <w:tcW w:type="dxa" w:w="5669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비용·지연을 절충한 계층화</w:t>
            </w:r>
          </w:p>
        </w:tc>
      </w:tr>
      <w:tr>
        <w:trPr>
          <w:cantSplit/>
        </w:trPr>
        <w:tc>
          <w:tcPr>
            <w:tcW w:type="dxa" w:w="255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HBF/스토리지 계층</w:t>
            </w:r>
          </w:p>
        </w:tc>
        <w:tc>
          <w:tcPr>
            <w:tcW w:type="dxa" w:w="153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진행 중</w:t>
            </w:r>
          </w:p>
        </w:tc>
        <w:tc>
          <w:tcPr>
            <w:tcW w:type="dxa" w:w="5669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용량 중심 워크로드의 대안</w:t>
            </w:r>
          </w:p>
        </w:tc>
      </w:tr>
    </w:tbl>
    <w:p>
      <w:pPr>
        <w:spacing w:after="160" w:before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E8F1FB"/>
            <w:tcBorders>
              <w:top w:val="nil"/>
              <w:left w:val="single" w:sz="28" w:space="0" w:color="1E407C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before="0"/>
            </w:pPr>
            <w:r/>
            <w:r>
              <w:rPr>
                <w:rFonts w:ascii="맑은 고딕" w:hAnsi="맑은 고딕" w:eastAsia="맑은 고딕"/>
                <w:b/>
                <w:i w:val="0"/>
                <w:color w:val="1E407C"/>
                <w:sz w:val="20"/>
              </w:rPr>
              <w:t>2026~28 vs 2028 이후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단기: HBM 가격결정력은 메모리 업체의 초과이익을 확대.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장기: 가격이 지나치면 SRAM 확대·압축·모델 경량화·ASIC 전환을 촉진.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따라서 ‘현재 메모리주가 틀렸다’가 아니라 ‘현재의 가격결정력이 영구적이라고 가정하지 말라’는 경고로 읽는 편이 타당합니다.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before="280" w:after="160" w:line="264" w:lineRule="auto"/>
        <w:pBdr>
          <w:bottom w:val="single" w:sz="12" w:space="4" w:color="0F2043"/>
        </w:pBdr>
      </w:pPr>
      <w:r>
        <w:rPr>
          <w:rFonts w:ascii="맑은 고딕" w:hAnsi="맑은 고딕" w:eastAsia="맑은 고딕"/>
          <w:b/>
          <w:i w:val="0"/>
          <w:color w:val="B8943A"/>
          <w:sz w:val="32"/>
        </w:rPr>
        <w:t xml:space="preserve">6.  </w:t>
      </w:r>
      <w:r>
        <w:rPr>
          <w:rFonts w:ascii="맑은 고딕" w:hAnsi="맑은 고딕" w:eastAsia="맑은 고딕"/>
          <w:b/>
          <w:i w:val="0"/>
          <w:color w:val="0F2043"/>
          <w:sz w:val="32"/>
        </w:rPr>
        <w:t>AI 내부 로테이션: Broadcom 독점 견제와 바이오 피벗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6120000" cy="328960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market_mov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896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40"/>
        <w:jc w:val="center"/>
      </w:pPr>
      <w:r>
        <w:rPr>
          <w:rFonts w:ascii="맑은 고딕" w:hAnsi="맑은 고딕" w:eastAsia="맑은 고딕"/>
          <w:b w:val="0"/>
          <w:i w:val="0"/>
          <w:color w:val="4B5563"/>
          <w:sz w:val="17"/>
        </w:rPr>
        <w:t>등락률은 제공 코멘트 수치를 사용. Moderna 수치는 코멘트 내 +77%/+117%/+177%가 혼재해 8/19 종목표의 +77%를 채택.</w:t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Google–Marvell: 칩 설계에서 TPU 주변 생태계로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1757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항목</w:t>
            </w:r>
          </w:p>
        </w:tc>
        <w:tc>
          <w:tcPr>
            <w:tcW w:type="dxa" w:w="4592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내용</w:t>
            </w:r>
          </w:p>
        </w:tc>
        <w:tc>
          <w:tcPr>
            <w:tcW w:type="dxa" w:w="3515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투자 함의</w:t>
            </w:r>
          </w:p>
        </w:tc>
      </w:tr>
      <w:tr>
        <w:trPr>
          <w:cantSplit/>
        </w:trPr>
        <w:tc>
          <w:tcPr>
            <w:tcW w:type="dxa" w:w="1757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적용 영역</w:t>
            </w:r>
          </w:p>
        </w:tc>
        <w:tc>
          <w:tcPr>
            <w:tcW w:type="dxa" w:w="4592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AI 추론 가속기·Storage Controller·NIC·Memory Interface·Near-memory</w:t>
            </w:r>
          </w:p>
        </w:tc>
        <w:tc>
          <w:tcPr>
            <w:tcW w:type="dxa" w:w="351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커스텀 ASIC 가시성 확대</w:t>
            </w:r>
          </w:p>
        </w:tc>
      </w:tr>
      <w:tr>
        <w:trPr>
          <w:cantSplit/>
        </w:trPr>
        <w:tc>
          <w:tcPr>
            <w:tcW w:type="dxa" w:w="1757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Warrant</w:t>
            </w:r>
          </w:p>
        </w:tc>
        <w:tc>
          <w:tcPr>
            <w:tcW w:type="dxa" w:w="4592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최대 5,897만주, 행사가 $206.58</w:t>
            </w:r>
          </w:p>
        </w:tc>
        <w:tc>
          <w:tcPr>
            <w:tcW w:type="dxa" w:w="3515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장기 협력의 경제적 이해관계</w:t>
            </w:r>
          </w:p>
        </w:tc>
      </w:tr>
      <w:tr>
        <w:trPr>
          <w:cantSplit/>
        </w:trPr>
        <w:tc>
          <w:tcPr>
            <w:tcW w:type="dxa" w:w="1757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Vesting</w:t>
            </w:r>
          </w:p>
        </w:tc>
        <w:tc>
          <w:tcPr>
            <w:tcW w:type="dxa" w:w="4592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Google 관련 Custom Products 매출 $5억마다 tranche</w:t>
            </w:r>
          </w:p>
        </w:tc>
        <w:tc>
          <w:tcPr>
            <w:tcW w:type="dxa" w:w="351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매출 증가와 보상 연동</w:t>
            </w:r>
          </w:p>
        </w:tc>
      </w:tr>
      <w:tr>
        <w:trPr>
          <w:cantSplit/>
        </w:trPr>
        <w:tc>
          <w:tcPr>
            <w:tcW w:type="dxa" w:w="1757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기간</w:t>
            </w:r>
          </w:p>
        </w:tc>
        <w:tc>
          <w:tcPr>
            <w:tcW w:type="dxa" w:w="4592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FY27 Q3~FY33</w:t>
            </w:r>
          </w:p>
        </w:tc>
        <w:tc>
          <w:tcPr>
            <w:tcW w:type="dxa" w:w="3515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단기 이벤트보다 장기 계약 성격</w:t>
            </w:r>
          </w:p>
        </w:tc>
      </w:tr>
      <w:tr>
        <w:trPr>
          <w:cantSplit/>
        </w:trPr>
        <w:tc>
          <w:tcPr>
            <w:tcW w:type="dxa" w:w="1757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경쟁 구도</w:t>
            </w:r>
          </w:p>
        </w:tc>
        <w:tc>
          <w:tcPr>
            <w:tcW w:type="dxa" w:w="4592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Broadcom의 TPU 독점적 지위 견제 신호</w:t>
            </w:r>
          </w:p>
        </w:tc>
        <w:tc>
          <w:tcPr>
            <w:tcW w:type="dxa" w:w="351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ASIC 내 점유율 재배분</w:t>
            </w:r>
          </w:p>
        </w:tc>
      </w:tr>
    </w:tbl>
    <w:p>
      <w:pPr>
        <w:spacing w:after="160" w:before="40"/>
      </w:pP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금리 하락에도 기술주가 못 오른 이유</w:t>
      </w:r>
    </w:p>
    <w:p>
      <w:pPr>
        <w:spacing w:before="80" w:after="160" w:line="288" w:lineRule="auto"/>
        <w:jc w:val="center"/>
      </w:pPr>
      <w:r>
        <w:rPr>
          <w:rFonts w:ascii="맑은 고딕" w:hAnsi="맑은 고딕" w:eastAsia="맑은 고딕"/>
          <w:b/>
          <w:i w:val="0"/>
          <w:color w:val="0F2043"/>
          <w:sz w:val="22"/>
        </w:rPr>
        <w:t>재무부 바이백</w:t>
      </w:r>
      <w:r>
        <w:rPr>
          <w:rFonts w:ascii="맑은 고딕" w:hAnsi="맑은 고딕" w:eastAsia="맑은 고딕"/>
          <w:b/>
          <w:i w:val="0"/>
          <w:color w:val="B8943A"/>
          <w:sz w:val="22"/>
        </w:rPr>
        <w:t xml:space="preserve">   →   </w:t>
      </w:r>
      <w:r>
        <w:rPr>
          <w:rFonts w:ascii="맑은 고딕" w:hAnsi="맑은 고딕" w:eastAsia="맑은 고딕"/>
          <w:b/>
          <w:i w:val="0"/>
          <w:color w:val="0F2043"/>
          <w:sz w:val="22"/>
        </w:rPr>
        <w:t>장기금리 진정</w:t>
      </w:r>
      <w:r>
        <w:rPr>
          <w:rFonts w:ascii="맑은 고딕" w:hAnsi="맑은 고딕" w:eastAsia="맑은 고딕"/>
          <w:b/>
          <w:i w:val="0"/>
          <w:color w:val="B8943A"/>
          <w:sz w:val="22"/>
        </w:rPr>
        <w:t xml:space="preserve">   →   </w:t>
      </w:r>
      <w:r>
        <w:rPr>
          <w:rFonts w:ascii="맑은 고딕" w:hAnsi="맑은 고딕" w:eastAsia="맑은 고딕"/>
          <w:b/>
          <w:i w:val="0"/>
          <w:color w:val="0F2043"/>
          <w:sz w:val="22"/>
        </w:rPr>
        <w:t>기술주 할인율 개선</w:t>
      </w:r>
      <w:r>
        <w:rPr>
          <w:rFonts w:ascii="맑은 고딕" w:hAnsi="맑은 고딕" w:eastAsia="맑은 고딕"/>
          <w:b/>
          <w:i w:val="0"/>
          <w:color w:val="B8943A"/>
          <w:sz w:val="22"/>
        </w:rPr>
        <w:t xml:space="preserve">   →   </w:t>
      </w:r>
      <w:r>
        <w:rPr>
          <w:rFonts w:ascii="맑은 고딕" w:hAnsi="맑은 고딕" w:eastAsia="맑은 고딕"/>
          <w:b/>
          <w:i w:val="0"/>
          <w:color w:val="0F2043"/>
          <w:sz w:val="22"/>
        </w:rPr>
        <w:t>그러나 AI 차익실현</w:t>
      </w:r>
      <w:r>
        <w:rPr>
          <w:rFonts w:ascii="맑은 고딕" w:hAnsi="맑은 고딕" w:eastAsia="맑은 고딕"/>
          <w:b/>
          <w:i w:val="0"/>
          <w:color w:val="B8943A"/>
          <w:sz w:val="22"/>
        </w:rPr>
        <w:t xml:space="preserve">   →   </w:t>
      </w:r>
      <w:r>
        <w:rPr>
          <w:rFonts w:ascii="맑은 고딕" w:hAnsi="맑은 고딕" w:eastAsia="맑은 고딕"/>
          <w:b/>
          <w:i w:val="0"/>
          <w:color w:val="0F2043"/>
          <w:sz w:val="22"/>
        </w:rPr>
        <w:t>헬스케어 유입</w:t>
      </w:r>
      <w:r>
        <w:rPr>
          <w:rFonts w:ascii="맑은 고딕" w:hAnsi="맑은 고딕" w:eastAsia="맑은 고딕"/>
          <w:b/>
          <w:i w:val="0"/>
          <w:color w:val="B8943A"/>
          <w:sz w:val="22"/>
        </w:rPr>
        <w:t xml:space="preserve">   →   </w:t>
      </w:r>
      <w:r>
        <w:rPr>
          <w:rFonts w:ascii="맑은 고딕" w:hAnsi="맑은 고딕" w:eastAsia="맑은 고딕"/>
          <w:b/>
          <w:i w:val="0"/>
          <w:color w:val="0F2043"/>
          <w:sz w:val="22"/>
        </w:rPr>
        <w:t>기술주 약세/바이오 강세</w:t>
      </w:r>
    </w:p>
    <w:p>
      <w:pPr>
        <w:spacing w:after="120" w:before="0" w:line="283" w:lineRule="auto"/>
        <w:jc w:val="left"/>
      </w:pPr>
      <w:r>
        <w:rPr>
          <w:rFonts w:ascii="맑은 고딕" w:hAnsi="맑은 고딕" w:eastAsia="맑은 고딕"/>
          <w:b w:val="0"/>
          <w:i w:val="0"/>
          <w:color w:val="1A1A1A"/>
          <w:sz w:val="22"/>
        </w:rPr>
        <w:t>금리 하나만으로 시장을 설명할 수 없는 국면입니다. NVIDIA 8/26 실적 전후 AI 심리가 재강화되는지, 헬스케어로의 성장주 로테이션이 이어지는지를 함께 봐야 합니다.</w:t>
      </w:r>
    </w:p>
    <w:p>
      <w:r>
        <w:br w:type="page"/>
      </w:r>
    </w:p>
    <w:p>
      <w:pPr>
        <w:spacing w:before="280" w:after="160" w:line="264" w:lineRule="auto"/>
        <w:pBdr>
          <w:bottom w:val="single" w:sz="12" w:space="4" w:color="0F2043"/>
        </w:pBdr>
      </w:pPr>
      <w:r>
        <w:rPr>
          <w:rFonts w:ascii="맑은 고딕" w:hAnsi="맑은 고딕" w:eastAsia="맑은 고딕"/>
          <w:b/>
          <w:i w:val="0"/>
          <w:color w:val="B8943A"/>
          <w:sz w:val="32"/>
        </w:rPr>
        <w:t xml:space="preserve">7.  </w:t>
      </w:r>
      <w:r>
        <w:rPr>
          <w:rFonts w:ascii="맑은 고딕" w:hAnsi="맑은 고딕" w:eastAsia="맑은 고딕"/>
          <w:b/>
          <w:i w:val="0"/>
          <w:color w:val="0F2043"/>
          <w:sz w:val="32"/>
        </w:rPr>
        <w:t>국내 반도체: 가격·믹스·검사 난이도가 이익을 만든다</w:t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삼성 파운드리 — 생산 여력 부족이 가격 협상력으로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6120000" cy="333228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foundry_hik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322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40"/>
        <w:jc w:val="center"/>
      </w:pPr>
      <w:r>
        <w:rPr>
          <w:rFonts w:ascii="맑은 고딕" w:hAnsi="맑은 고딕" w:eastAsia="맑은 고딕"/>
          <w:b w:val="0"/>
          <w:i w:val="0"/>
          <w:color w:val="4B5563"/>
          <w:sz w:val="17"/>
        </w:rPr>
        <w:t>Reuters 링크가 포함된 제공 코멘트 기준.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TSMC 첨단공정 포화와 중국 팹리스의 해외 파운드리 의존이 신규 주문의 가격 협상력을 높이는 구도.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평택 SF4는 퀄컴 물량과 차세대 HBM 베이스다이 생산으로 높은 가동률을 유지한다는 보도.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가격 인상 + 수율 개선 + 가동률 상승이 결합되면 파운드리 적자 축소/흑자 전환 기대를 강화.</w:t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이수페타시스 — Capa보다 Multi-Lam 믹스가 중요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6120000" cy="308646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domestic_growth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0864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40"/>
        <w:jc w:val="center"/>
      </w:pPr>
      <w:r>
        <w:rPr>
          <w:rFonts w:ascii="맑은 고딕" w:hAnsi="맑은 고딕" w:eastAsia="맑은 고딕"/>
          <w:b w:val="0"/>
          <w:i w:val="0"/>
          <w:color w:val="4B5563"/>
          <w:sz w:val="17"/>
        </w:rPr>
        <w:t>수주잔고 비중은 ‘20%+’를 시각화하기 위해 20으로 표시.</w:t>
      </w:r>
    </w:p>
    <w:p>
      <w:pPr>
        <w:spacing w:before="80" w:after="160" w:line="288" w:lineRule="auto"/>
        <w:jc w:val="center"/>
      </w:pPr>
      <w:r>
        <w:rPr>
          <w:rFonts w:ascii="맑은 고딕" w:hAnsi="맑은 고딕" w:eastAsia="맑은 고딕"/>
          <w:b/>
          <w:i w:val="0"/>
          <w:color w:val="0F2043"/>
          <w:sz w:val="22"/>
        </w:rPr>
        <w:t>AI 서버·가속기</w:t>
      </w:r>
      <w:r>
        <w:rPr>
          <w:rFonts w:ascii="맑은 고딕" w:hAnsi="맑은 고딕" w:eastAsia="맑은 고딕"/>
          <w:b/>
          <w:i w:val="0"/>
          <w:color w:val="B8943A"/>
          <w:sz w:val="22"/>
        </w:rPr>
        <w:t xml:space="preserve">   →   </w:t>
      </w:r>
      <w:r>
        <w:rPr>
          <w:rFonts w:ascii="맑은 고딕" w:hAnsi="맑은 고딕" w:eastAsia="맑은 고딕"/>
          <w:b/>
          <w:i w:val="0"/>
          <w:color w:val="0F2043"/>
          <w:sz w:val="22"/>
        </w:rPr>
        <w:t>신호 복잡도 증가</w:t>
      </w:r>
      <w:r>
        <w:rPr>
          <w:rFonts w:ascii="맑은 고딕" w:hAnsi="맑은 고딕" w:eastAsia="맑은 고딕"/>
          <w:b/>
          <w:i w:val="0"/>
          <w:color w:val="B8943A"/>
          <w:sz w:val="22"/>
        </w:rPr>
        <w:t xml:space="preserve">   →   </w:t>
      </w:r>
      <w:r>
        <w:rPr>
          <w:rFonts w:ascii="맑은 고딕" w:hAnsi="맑은 고딕" w:eastAsia="맑은 고딕"/>
          <w:b/>
          <w:i w:val="0"/>
          <w:color w:val="0F2043"/>
          <w:sz w:val="22"/>
        </w:rPr>
        <w:t>고다층 Multi-Lam</w:t>
      </w:r>
      <w:r>
        <w:rPr>
          <w:rFonts w:ascii="맑은 고딕" w:hAnsi="맑은 고딕" w:eastAsia="맑은 고딕"/>
          <w:b/>
          <w:i w:val="0"/>
          <w:color w:val="B8943A"/>
          <w:sz w:val="22"/>
        </w:rPr>
        <w:t xml:space="preserve">   →   </w:t>
      </w:r>
      <w:r>
        <w:rPr>
          <w:rFonts w:ascii="맑은 고딕" w:hAnsi="맑은 고딕" w:eastAsia="맑은 고딕"/>
          <w:b/>
          <w:i w:val="0"/>
          <w:color w:val="0F2043"/>
          <w:sz w:val="22"/>
        </w:rPr>
        <w:t>ASP·난이도 상승</w:t>
      </w:r>
      <w:r>
        <w:rPr>
          <w:rFonts w:ascii="맑은 고딕" w:hAnsi="맑은 고딕" w:eastAsia="맑은 고딕"/>
          <w:b/>
          <w:i w:val="0"/>
          <w:color w:val="B8943A"/>
          <w:sz w:val="22"/>
        </w:rPr>
        <w:t xml:space="preserve">   →   </w:t>
      </w:r>
      <w:r>
        <w:rPr>
          <w:rFonts w:ascii="맑은 고딕" w:hAnsi="맑은 고딕" w:eastAsia="맑은 고딕"/>
          <w:b/>
          <w:i w:val="0"/>
          <w:color w:val="0F2043"/>
          <w:sz w:val="22"/>
        </w:rPr>
        <w:t>수율 안정</w:t>
      </w:r>
      <w:r>
        <w:rPr>
          <w:rFonts w:ascii="맑은 고딕" w:hAnsi="맑은 고딕" w:eastAsia="맑은 고딕"/>
          <w:b/>
          <w:i w:val="0"/>
          <w:color w:val="B8943A"/>
          <w:sz w:val="22"/>
        </w:rPr>
        <w:t xml:space="preserve">   →   </w:t>
      </w:r>
      <w:r>
        <w:rPr>
          <w:rFonts w:ascii="맑은 고딕" w:hAnsi="맑은 고딕" w:eastAsia="맑은 고딕"/>
          <w:b/>
          <w:i w:val="0"/>
          <w:color w:val="0F2043"/>
          <w:sz w:val="22"/>
        </w:rPr>
        <w:t>이익 레버리지</w:t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기가비스 — FC-BGA의 눈(AOI)과 레이저 수리공(AOR)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2438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촉매</w:t>
            </w:r>
          </w:p>
        </w:tc>
        <w:tc>
          <w:tcPr>
            <w:tcW w:type="dxa" w:w="4025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현재 확인</w:t>
            </w:r>
          </w:p>
        </w:tc>
        <w:tc>
          <w:tcPr>
            <w:tcW w:type="dxa" w:w="3288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리스크</w:t>
            </w:r>
          </w:p>
        </w:tc>
      </w:tr>
      <w:tr>
        <w:trPr>
          <w:cantSplit/>
        </w:trPr>
        <w:tc>
          <w:tcPr>
            <w:tcW w:type="dxa" w:w="243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AI → FC-BGA 고사양화</w:t>
            </w:r>
          </w:p>
        </w:tc>
        <w:tc>
          <w:tcPr>
            <w:tcW w:type="dxa" w:w="402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미세회로 검사·수리 중요도 상승</w:t>
            </w:r>
          </w:p>
        </w:tc>
        <w:tc>
          <w:tcPr>
            <w:tcW w:type="dxa" w:w="328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기판 CAPEX 지연</w:t>
            </w:r>
          </w:p>
        </w:tc>
      </w:tr>
      <w:tr>
        <w:trPr>
          <w:cantSplit/>
        </w:trPr>
        <w:tc>
          <w:tcPr>
            <w:tcW w:type="dxa" w:w="243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글로벌 고객 증설</w:t>
            </w:r>
          </w:p>
        </w:tc>
        <w:tc>
          <w:tcPr>
            <w:tcW w:type="dxa" w:w="4025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일본 고객 89.5억 계약(매출의 17.1%)</w:t>
            </w:r>
          </w:p>
        </w:tc>
        <w:tc>
          <w:tcPr>
            <w:tcW w:type="dxa" w:w="328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장비 수주 변동성</w:t>
            </w:r>
          </w:p>
        </w:tc>
      </w:tr>
      <w:tr>
        <w:trPr>
          <w:cantSplit/>
        </w:trPr>
        <w:tc>
          <w:tcPr>
            <w:tcW w:type="dxa" w:w="243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영업 레버리지</w:t>
            </w:r>
          </w:p>
        </w:tc>
        <w:tc>
          <w:tcPr>
            <w:tcW w:type="dxa" w:w="402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26E 매출 1,785억·OP 721억 제시</w:t>
            </w:r>
          </w:p>
        </w:tc>
        <w:tc>
          <w:tcPr>
            <w:tcW w:type="dxa" w:w="328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높은 기대치와 고객 집중</w:t>
            </w:r>
          </w:p>
        </w:tc>
      </w:tr>
    </w:tbl>
    <w:p>
      <w:pPr>
        <w:spacing w:after="160" w:before="40"/>
      </w:pPr>
    </w:p>
    <w:p>
      <w:pPr>
        <w:spacing w:before="280" w:after="160" w:line="264" w:lineRule="auto"/>
        <w:pBdr>
          <w:bottom w:val="single" w:sz="12" w:space="4" w:color="0F2043"/>
        </w:pBdr>
      </w:pPr>
      <w:r>
        <w:rPr>
          <w:rFonts w:ascii="맑은 고딕" w:hAnsi="맑은 고딕" w:eastAsia="맑은 고딕"/>
          <w:b/>
          <w:i w:val="0"/>
          <w:color w:val="B8943A"/>
          <w:sz w:val="32"/>
        </w:rPr>
        <w:t xml:space="preserve">8.  </w:t>
      </w:r>
      <w:r>
        <w:rPr>
          <w:rFonts w:ascii="맑은 고딕" w:hAnsi="맑은 고딕" w:eastAsia="맑은 고딕"/>
          <w:b/>
          <w:i w:val="0"/>
          <w:color w:val="0F2043"/>
          <w:sz w:val="32"/>
        </w:rPr>
        <w:t>비반도체 확산: 전력·ESS·방산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1701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테마</w:t>
            </w:r>
          </w:p>
        </w:tc>
        <w:tc>
          <w:tcPr>
            <w:tcW w:type="dxa" w:w="2891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기업/이벤트</w:t>
            </w:r>
          </w:p>
        </w:tc>
        <w:tc>
          <w:tcPr>
            <w:tcW w:type="dxa" w:w="5159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핵심 연결고리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전력 인프라</w:t>
            </w:r>
          </w:p>
        </w:tc>
        <w:tc>
          <w:tcPr>
            <w:tcW w:type="dxa" w:w="289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LS·LS ELECTRIC·LS전선</w:t>
            </w:r>
          </w:p>
        </w:tc>
        <w:tc>
          <w:tcPr>
            <w:tcW w:type="dxa" w:w="5159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배전설비·케이블·특수권선 + 구리가격 상승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북미 ESS</w:t>
            </w:r>
          </w:p>
        </w:tc>
        <w:tc>
          <w:tcPr>
            <w:tcW w:type="dxa" w:w="289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LG에너지솔루션</w:t>
            </w:r>
          </w:p>
        </w:tc>
        <w:tc>
          <w:tcPr>
            <w:tcW w:type="dxa" w:w="5159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EV 라인 전환, Lansing 35GWh+, Tesla Megapack LFP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배터리 방산</w:t>
            </w:r>
          </w:p>
        </w:tc>
        <w:tc>
          <w:tcPr>
            <w:tcW w:type="dxa" w:w="289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LG에너지솔루션</w:t>
            </w:r>
          </w:p>
        </w:tc>
        <w:tc>
          <w:tcPr>
            <w:tcW w:type="dxa" w:w="5159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드론·무인무기체계용 배터리 공급 협상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미 자주포</w:t>
            </w:r>
          </w:p>
        </w:tc>
        <w:tc>
          <w:tcPr>
            <w:tcW w:type="dxa" w:w="289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한화에어로스페이스</w:t>
            </w:r>
          </w:p>
        </w:tc>
        <w:tc>
          <w:tcPr>
            <w:tcW w:type="dxa" w:w="5159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MTC 시제기 단독 선정 → 최대 18문, 양산 진입 옵션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바이오</w:t>
            </w:r>
          </w:p>
        </w:tc>
        <w:tc>
          <w:tcPr>
            <w:tcW w:type="dxa" w:w="289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알테오젠·mRNA 밸류체인</w:t>
            </w:r>
          </w:p>
        </w:tc>
        <w:tc>
          <w:tcPr>
            <w:tcW w:type="dxa" w:w="5159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키트루다SC + 개인맞춤형 암백신 병용 확장</w:t>
            </w:r>
          </w:p>
        </w:tc>
      </w:tr>
    </w:tbl>
    <w:p>
      <w:pPr>
        <w:spacing w:after="160" w:before="40"/>
      </w:pP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LS: 자회사 이익 체력의 구조적 상승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2324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자회사</w:t>
            </w:r>
          </w:p>
        </w:tc>
        <w:tc>
          <w:tcPr>
            <w:tcW w:type="dxa" w:w="3005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2Q26 영업이익</w:t>
            </w:r>
          </w:p>
        </w:tc>
        <w:tc>
          <w:tcPr>
            <w:tcW w:type="dxa" w:w="4422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동력</w:t>
            </w:r>
          </w:p>
        </w:tc>
      </w:tr>
      <w:tr>
        <w:trPr>
          <w:cantSplit/>
        </w:trPr>
        <w:tc>
          <w:tcPr>
            <w:tcW w:type="dxa" w:w="232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LS ELECTRIC</w:t>
            </w:r>
          </w:p>
        </w:tc>
        <w:tc>
          <w:tcPr>
            <w:tcW w:type="dxa" w:w="300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1,785억 (+64% YoY)</w:t>
            </w:r>
          </w:p>
        </w:tc>
        <w:tc>
          <w:tcPr>
            <w:tcW w:type="dxa" w:w="4422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배전설비·변압기·배전반 수주</w:t>
            </w:r>
          </w:p>
        </w:tc>
      </w:tr>
      <w:tr>
        <w:trPr>
          <w:cantSplit/>
        </w:trPr>
        <w:tc>
          <w:tcPr>
            <w:tcW w:type="dxa" w:w="232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LS전선</w:t>
            </w:r>
          </w:p>
        </w:tc>
        <w:tc>
          <w:tcPr>
            <w:tcW w:type="dxa" w:w="3005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1,413억 (+71%)</w:t>
            </w:r>
          </w:p>
        </w:tc>
        <w:tc>
          <w:tcPr>
            <w:tcW w:type="dxa" w:w="4422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고부가 케이블·구리가격</w:t>
            </w:r>
          </w:p>
        </w:tc>
      </w:tr>
      <w:tr>
        <w:trPr>
          <w:cantSplit/>
        </w:trPr>
        <w:tc>
          <w:tcPr>
            <w:tcW w:type="dxa" w:w="232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LS MnM</w:t>
            </w:r>
          </w:p>
        </w:tc>
        <w:tc>
          <w:tcPr>
            <w:tcW w:type="dxa" w:w="300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1,757억 (흑전)</w:t>
            </w:r>
          </w:p>
        </w:tc>
        <w:tc>
          <w:tcPr>
            <w:tcW w:type="dxa" w:w="4422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황산 수익성</w:t>
            </w:r>
          </w:p>
        </w:tc>
      </w:tr>
      <w:tr>
        <w:trPr>
          <w:cantSplit/>
        </w:trPr>
        <w:tc>
          <w:tcPr>
            <w:tcW w:type="dxa" w:w="232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LS I&amp;D</w:t>
            </w:r>
          </w:p>
        </w:tc>
        <w:tc>
          <w:tcPr>
            <w:tcW w:type="dxa" w:w="3005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741억 (+166%)</w:t>
            </w:r>
          </w:p>
        </w:tc>
        <w:tc>
          <w:tcPr>
            <w:tcW w:type="dxa" w:w="4422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Essex 특수권선</w:t>
            </w:r>
          </w:p>
        </w:tc>
      </w:tr>
    </w:tbl>
    <w:p>
      <w:pPr>
        <w:spacing w:after="160" w:before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EEF2F8"/>
            <w:tcBorders>
              <w:top w:val="nil"/>
              <w:left w:val="single" w:sz="28" w:space="0" w:color="0F2043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before="0"/>
            </w:pPr>
            <w:r/>
            <w:r>
              <w:rPr>
                <w:rFonts w:ascii="맑은 고딕" w:hAnsi="맑은 고딕" w:eastAsia="맑은 고딕"/>
                <w:b/>
                <w:i w:val="0"/>
                <w:color w:val="0F2043"/>
                <w:sz w:val="20"/>
              </w:rPr>
              <w:t>포트폴리오 시사점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국내 기관의 고민은 AI 비중을 ‘0’으로 줄이는 것이 아니라 대형 반도체 노출과 전력·소부장·방산의 믹스 비율을 조정하는 문제에 가깝습니다.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before="280" w:after="160" w:line="264" w:lineRule="auto"/>
        <w:pBdr>
          <w:bottom w:val="single" w:sz="12" w:space="4" w:color="0F2043"/>
        </w:pBdr>
      </w:pPr>
      <w:r>
        <w:rPr>
          <w:rFonts w:ascii="맑은 고딕" w:hAnsi="맑은 고딕" w:eastAsia="맑은 고딕"/>
          <w:b/>
          <w:i w:val="0"/>
          <w:color w:val="B8943A"/>
          <w:sz w:val="32"/>
        </w:rPr>
        <w:t xml:space="preserve">9.  </w:t>
      </w:r>
      <w:r>
        <w:rPr>
          <w:rFonts w:ascii="맑은 고딕" w:hAnsi="맑은 고딕" w:eastAsia="맑은 고딕"/>
          <w:b/>
          <w:i w:val="0"/>
          <w:color w:val="0F2043"/>
          <w:sz w:val="32"/>
        </w:rPr>
        <w:t>밸류에이션: 메모리의 저PER와 Unitree의 초고PSR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6120000" cy="356731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valuatio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5673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40"/>
        <w:jc w:val="center"/>
      </w:pPr>
      <w:r>
        <w:rPr>
          <w:rFonts w:ascii="맑은 고딕" w:hAnsi="맑은 고딕" w:eastAsia="맑은 고딕"/>
          <w:b w:val="0"/>
          <w:i w:val="0"/>
          <w:color w:val="4B5563"/>
          <w:sz w:val="17"/>
        </w:rPr>
        <w:t>모든 배수는 제공 코멘트의 추정치·가격 기준. 서로 다른 회계연도와 추정치이므로 방향성 비교용.</w:t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메모리: 낮은 PER은 기회인 동시에 피크 우려의 가격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2018"/>
        <w:gridCol w:w="2018"/>
        <w:gridCol w:w="2018"/>
        <w:gridCol w:w="2018"/>
        <w:gridCol w:w="2018"/>
      </w:tblGrid>
      <w:tr>
        <w:trPr>
          <w:cantSplit/>
        </w:trPr>
        <w:tc>
          <w:tcPr>
            <w:tcW w:type="dxa" w:w="1814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종목</w:t>
            </w:r>
          </w:p>
        </w:tc>
        <w:tc>
          <w:tcPr>
            <w:tcW w:type="dxa" w:w="2381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가격/기준</w:t>
            </w:r>
          </w:p>
        </w:tc>
        <w:tc>
          <w:tcPr>
            <w:tcW w:type="dxa" w:w="1814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26E PER</w:t>
            </w:r>
          </w:p>
        </w:tc>
        <w:tc>
          <w:tcPr>
            <w:tcW w:type="dxa" w:w="1814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27E PER</w:t>
            </w:r>
          </w:p>
        </w:tc>
        <w:tc>
          <w:tcPr>
            <w:tcW w:type="dxa" w:w="1814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보수적 27E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SK하이닉스</w:t>
            </w:r>
          </w:p>
        </w:tc>
        <w:tc>
          <w:tcPr>
            <w:tcW w:type="dxa" w:w="238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본주 150만원</w:t>
            </w:r>
          </w:p>
        </w:tc>
        <w:tc>
          <w:tcPr>
            <w:tcW w:type="dxa" w:w="181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4.3배</w:t>
            </w:r>
          </w:p>
        </w:tc>
        <w:tc>
          <w:tcPr>
            <w:tcW w:type="dxa" w:w="181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3.4배</w:t>
            </w:r>
          </w:p>
        </w:tc>
        <w:tc>
          <w:tcPr>
            <w:tcW w:type="dxa" w:w="181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5.1배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삼성전자</w:t>
            </w:r>
          </w:p>
        </w:tc>
        <w:tc>
          <w:tcPr>
            <w:tcW w:type="dxa" w:w="238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24.75만원</w:t>
            </w:r>
          </w:p>
        </w:tc>
        <w:tc>
          <w:tcPr>
            <w:tcW w:type="dxa" w:w="181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5.2배</w:t>
            </w:r>
          </w:p>
        </w:tc>
        <w:tc>
          <w:tcPr>
            <w:tcW w:type="dxa" w:w="181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3.7배</w:t>
            </w:r>
          </w:p>
        </w:tc>
        <w:tc>
          <w:tcPr>
            <w:tcW w:type="dxa" w:w="181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5.6배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Micron</w:t>
            </w:r>
          </w:p>
        </w:tc>
        <w:tc>
          <w:tcPr>
            <w:tcW w:type="dxa" w:w="238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$937.11</w:t>
            </w:r>
          </w:p>
        </w:tc>
        <w:tc>
          <w:tcPr>
            <w:tcW w:type="dxa" w:w="181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F12M 7.5배</w:t>
            </w:r>
          </w:p>
        </w:tc>
        <w:tc>
          <w:tcPr>
            <w:tcW w:type="dxa" w:w="181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CY27 6.25배</w:t>
            </w:r>
          </w:p>
        </w:tc>
        <w:tc>
          <w:tcPr>
            <w:tcW w:type="dxa" w:w="181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Sandisk</w:t>
            </w:r>
          </w:p>
        </w:tc>
        <w:tc>
          <w:tcPr>
            <w:tcW w:type="dxa" w:w="238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$1,568.37</w:t>
            </w:r>
          </w:p>
        </w:tc>
        <w:tc>
          <w:tcPr>
            <w:tcW w:type="dxa" w:w="181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—</w:t>
            </w:r>
          </w:p>
        </w:tc>
        <w:tc>
          <w:tcPr>
            <w:tcW w:type="dxa" w:w="181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FY27 7.8배</w:t>
            </w:r>
          </w:p>
        </w:tc>
        <w:tc>
          <w:tcPr>
            <w:tcW w:type="dxa" w:w="181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—</w:t>
            </w:r>
          </w:p>
        </w:tc>
      </w:tr>
    </w:tbl>
    <w:p>
      <w:pPr>
        <w:spacing w:after="160" w:before="40"/>
      </w:pP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Unitree: 산업 성장과 주가의 속도를 분리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휴머노이드 시장 CAGR 31% 전망과 중국의 제조·공급망·원가 우위는 강점.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그러나 2026E 매출 약 22억 위안 대비 종가 시총 3,418억 위안이면 PSR 약 155배.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‘시장 성장의 2배인 60%+ 성장 시 PSR 60배까지 허용’이라는 공격적 프레임보다도 약 2.6배 높음.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다음 관문은 연구·교육·시연이 아니라 산업 현장의 가동률, 반복 신뢰성, 고객 ROI입니다.</w:t>
      </w:r>
    </w:p>
    <w:p>
      <w:r>
        <w:br w:type="page"/>
      </w:r>
    </w:p>
    <w:p>
      <w:pPr>
        <w:spacing w:before="280" w:after="160" w:line="264" w:lineRule="auto"/>
        <w:pBdr>
          <w:bottom w:val="single" w:sz="12" w:space="4" w:color="0F2043"/>
        </w:pBdr>
      </w:pPr>
      <w:r>
        <w:rPr>
          <w:rFonts w:ascii="맑은 고딕" w:hAnsi="맑은 고딕" w:eastAsia="맑은 고딕"/>
          <w:b/>
          <w:i w:val="0"/>
          <w:color w:val="B8943A"/>
          <w:sz w:val="32"/>
        </w:rPr>
        <w:t xml:space="preserve">10.  </w:t>
      </w:r>
      <w:r>
        <w:rPr>
          <w:rFonts w:ascii="맑은 고딕" w:hAnsi="맑은 고딕" w:eastAsia="맑은 고딕"/>
          <w:b/>
          <w:i w:val="0"/>
          <w:color w:val="0F2043"/>
          <w:sz w:val="32"/>
        </w:rPr>
        <w:t>실전 체크리스트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2018"/>
        <w:gridCol w:w="2018"/>
        <w:gridCol w:w="2018"/>
        <w:gridCol w:w="2018"/>
        <w:gridCol w:w="2018"/>
      </w:tblGrid>
      <w:tr>
        <w:trPr>
          <w:cantSplit/>
        </w:trPr>
        <w:tc>
          <w:tcPr>
            <w:tcW w:type="dxa" w:w="850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우선순위</w:t>
            </w:r>
          </w:p>
        </w:tc>
        <w:tc>
          <w:tcPr>
            <w:tcW w:type="dxa" w:w="1701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변수</w:t>
            </w:r>
          </w:p>
        </w:tc>
        <w:tc>
          <w:tcPr>
            <w:tcW w:type="dxa" w:w="2381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완화 신호</w:t>
            </w:r>
          </w:p>
        </w:tc>
        <w:tc>
          <w:tcPr>
            <w:tcW w:type="dxa" w:w="2438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위험 신호</w:t>
            </w:r>
          </w:p>
        </w:tc>
        <w:tc>
          <w:tcPr>
            <w:tcW w:type="dxa" w:w="2438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영향</w:t>
            </w:r>
          </w:p>
        </w:tc>
      </w:tr>
      <w:tr>
        <w:trPr>
          <w:cantSplit/>
        </w:trPr>
        <w:tc>
          <w:tcPr>
            <w:tcW w:type="dxa" w:w="850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1</w:t>
            </w:r>
          </w:p>
        </w:tc>
        <w:tc>
          <w:tcPr>
            <w:tcW w:type="dxa" w:w="170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미 10년물</w:t>
            </w:r>
          </w:p>
        </w:tc>
        <w:tc>
          <w:tcPr>
            <w:tcW w:type="dxa" w:w="238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4.7% 이하 안착</w:t>
            </w:r>
          </w:p>
        </w:tc>
        <w:tc>
          <w:tcPr>
            <w:tcW w:type="dxa" w:w="243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5.0% 돌파·고착</w:t>
            </w:r>
          </w:p>
        </w:tc>
        <w:tc>
          <w:tcPr>
            <w:tcW w:type="dxa" w:w="243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AI/반도체 멀티플</w:t>
            </w:r>
          </w:p>
        </w:tc>
      </w:tr>
      <w:tr>
        <w:trPr>
          <w:cantSplit/>
        </w:trPr>
        <w:tc>
          <w:tcPr>
            <w:tcW w:type="dxa" w:w="850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2</w:t>
            </w:r>
          </w:p>
        </w:tc>
        <w:tc>
          <w:tcPr>
            <w:tcW w:type="dxa" w:w="170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브렌트유</w:t>
            </w:r>
          </w:p>
        </w:tc>
        <w:tc>
          <w:tcPr>
            <w:tcW w:type="dxa" w:w="238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$90 전후 안정</w:t>
            </w:r>
          </w:p>
        </w:tc>
        <w:tc>
          <w:tcPr>
            <w:tcW w:type="dxa" w:w="243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$100 이상</w:t>
            </w:r>
          </w:p>
        </w:tc>
        <w:tc>
          <w:tcPr>
            <w:tcW w:type="dxa" w:w="243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인플레·금리 악순환</w:t>
            </w:r>
          </w:p>
        </w:tc>
      </w:tr>
      <w:tr>
        <w:trPr>
          <w:cantSplit/>
        </w:trPr>
        <w:tc>
          <w:tcPr>
            <w:tcW w:type="dxa" w:w="850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3</w:t>
            </w:r>
          </w:p>
        </w:tc>
        <w:tc>
          <w:tcPr>
            <w:tcW w:type="dxa" w:w="170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USD/JPY</w:t>
            </w:r>
          </w:p>
        </w:tc>
        <w:tc>
          <w:tcPr>
            <w:tcW w:type="dxa" w:w="238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157~159 안정</w:t>
            </w:r>
          </w:p>
        </w:tc>
        <w:tc>
          <w:tcPr>
            <w:tcW w:type="dxa" w:w="243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150 초반 급락</w:t>
            </w:r>
          </w:p>
        </w:tc>
        <w:tc>
          <w:tcPr>
            <w:tcW w:type="dxa" w:w="243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엔캐리 청산</w:t>
            </w:r>
          </w:p>
        </w:tc>
      </w:tr>
      <w:tr>
        <w:trPr>
          <w:cantSplit/>
        </w:trPr>
        <w:tc>
          <w:tcPr>
            <w:tcW w:type="dxa" w:w="850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4</w:t>
            </w:r>
          </w:p>
        </w:tc>
        <w:tc>
          <w:tcPr>
            <w:tcW w:type="dxa" w:w="170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달러-원</w:t>
            </w:r>
          </w:p>
        </w:tc>
        <w:tc>
          <w:tcPr>
            <w:tcW w:type="dxa" w:w="238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완만한 하락</w:t>
            </w:r>
          </w:p>
        </w:tc>
        <w:tc>
          <w:tcPr>
            <w:tcW w:type="dxa" w:w="243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급격한 1,340대 진입</w:t>
            </w:r>
          </w:p>
        </w:tc>
        <w:tc>
          <w:tcPr>
            <w:tcW w:type="dxa" w:w="243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수출주 EPS·외인 수급</w:t>
            </w:r>
          </w:p>
        </w:tc>
      </w:tr>
      <w:tr>
        <w:trPr>
          <w:cantSplit/>
        </w:trPr>
        <w:tc>
          <w:tcPr>
            <w:tcW w:type="dxa" w:w="850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5</w:t>
            </w:r>
          </w:p>
        </w:tc>
        <w:tc>
          <w:tcPr>
            <w:tcW w:type="dxa" w:w="170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AI 수요</w:t>
            </w:r>
          </w:p>
        </w:tc>
        <w:tc>
          <w:tcPr>
            <w:tcW w:type="dxa" w:w="238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토큰·Hyperscaler CAPEX 지속</w:t>
            </w:r>
          </w:p>
        </w:tc>
        <w:tc>
          <w:tcPr>
            <w:tcW w:type="dxa" w:w="243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OpenAI 성장 둔화·손실 확대</w:t>
            </w:r>
          </w:p>
        </w:tc>
        <w:tc>
          <w:tcPr>
            <w:tcW w:type="dxa" w:w="243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GPU/HBM/네트워크</w:t>
            </w:r>
          </w:p>
        </w:tc>
      </w:tr>
      <w:tr>
        <w:trPr>
          <w:cantSplit/>
        </w:trPr>
        <w:tc>
          <w:tcPr>
            <w:tcW w:type="dxa" w:w="850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6</w:t>
            </w:r>
          </w:p>
        </w:tc>
        <w:tc>
          <w:tcPr>
            <w:tcW w:type="dxa" w:w="170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주주환원</w:t>
            </w:r>
          </w:p>
        </w:tc>
        <w:tc>
          <w:tcPr>
            <w:tcW w:type="dxa" w:w="238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3Q 추가 환원 구체화</w:t>
            </w:r>
          </w:p>
        </w:tc>
        <w:tc>
          <w:tcPr>
            <w:tcW w:type="dxa" w:w="243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FCF·배당가능이익 제약</w:t>
            </w:r>
          </w:p>
        </w:tc>
        <w:tc>
          <w:tcPr>
            <w:tcW w:type="dxa" w:w="243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SK하이닉스 하방</w:t>
            </w:r>
          </w:p>
        </w:tc>
      </w:tr>
      <w:tr>
        <w:trPr>
          <w:cantSplit/>
        </w:trPr>
        <w:tc>
          <w:tcPr>
            <w:tcW w:type="dxa" w:w="850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7</w:t>
            </w:r>
          </w:p>
        </w:tc>
        <w:tc>
          <w:tcPr>
            <w:tcW w:type="dxa" w:w="170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HBM</w:t>
            </w:r>
          </w:p>
        </w:tc>
        <w:tc>
          <w:tcPr>
            <w:tcW w:type="dxa" w:w="238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연산 증가 &gt; 효율 개선</w:t>
            </w:r>
          </w:p>
        </w:tc>
        <w:tc>
          <w:tcPr>
            <w:tcW w:type="dxa" w:w="243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효율 개선이 연산 증가 추월</w:t>
            </w:r>
          </w:p>
        </w:tc>
        <w:tc>
          <w:tcPr>
            <w:tcW w:type="dxa" w:w="243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메모리 가격결정력</w:t>
            </w:r>
          </w:p>
        </w:tc>
      </w:tr>
    </w:tbl>
    <w:p>
      <w:pPr>
        <w:spacing w:after="160" w:before="40"/>
      </w:pP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시나리오 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1417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시나리오</w:t>
            </w:r>
          </w:p>
        </w:tc>
        <w:tc>
          <w:tcPr>
            <w:tcW w:type="dxa" w:w="3515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매크로</w:t>
            </w:r>
          </w:p>
        </w:tc>
        <w:tc>
          <w:tcPr>
            <w:tcW w:type="dxa" w:w="2948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시장 반응</w:t>
            </w:r>
          </w:p>
        </w:tc>
        <w:tc>
          <w:tcPr>
            <w:tcW w:type="dxa" w:w="1984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선호</w:t>
            </w:r>
          </w:p>
        </w:tc>
      </w:tr>
      <w:tr>
        <w:trPr>
          <w:cantSplit/>
        </w:trPr>
        <w:tc>
          <w:tcPr>
            <w:tcW w:type="dxa" w:w="1417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Bull</w:t>
            </w:r>
          </w:p>
        </w:tc>
        <w:tc>
          <w:tcPr>
            <w:tcW w:type="dxa" w:w="351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유가 안정 + 10Y &lt;4.7 + 엔화 안정</w:t>
            </w:r>
          </w:p>
        </w:tc>
        <w:tc>
          <w:tcPr>
            <w:tcW w:type="dxa" w:w="294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반도체 리레이팅·주주환원 반영</w:t>
            </w:r>
          </w:p>
        </w:tc>
        <w:tc>
          <w:tcPr>
            <w:tcW w:type="dxa" w:w="198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대형 메모리 + AI 소부장</w:t>
            </w:r>
          </w:p>
        </w:tc>
      </w:tr>
      <w:tr>
        <w:trPr>
          <w:cantSplit/>
        </w:trPr>
        <w:tc>
          <w:tcPr>
            <w:tcW w:type="dxa" w:w="1417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Base</w:t>
            </w:r>
          </w:p>
        </w:tc>
        <w:tc>
          <w:tcPr>
            <w:tcW w:type="dxa" w:w="3515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금리 고점권 횡보 + AI CAPEX 유지</w:t>
            </w:r>
          </w:p>
        </w:tc>
        <w:tc>
          <w:tcPr>
            <w:tcW w:type="dxa" w:w="294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변동성 속 실적·수주 차별화</w:t>
            </w:r>
          </w:p>
        </w:tc>
        <w:tc>
          <w:tcPr>
            <w:tcW w:type="dxa" w:w="198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대형주 + 전력/장비 바벨</w:t>
            </w:r>
          </w:p>
        </w:tc>
      </w:tr>
      <w:tr>
        <w:trPr>
          <w:cantSplit/>
        </w:trPr>
        <w:tc>
          <w:tcPr>
            <w:tcW w:type="dxa" w:w="1417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Bear</w:t>
            </w:r>
          </w:p>
        </w:tc>
        <w:tc>
          <w:tcPr>
            <w:tcW w:type="dxa" w:w="351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유가 &gt;$100 + 10Y &gt;5.0 + 엔화 급등</w:t>
            </w:r>
          </w:p>
        </w:tc>
        <w:tc>
          <w:tcPr>
            <w:tcW w:type="dxa" w:w="294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멀티플 축소·캐리 청산</w:t>
            </w:r>
          </w:p>
        </w:tc>
        <w:tc>
          <w:tcPr>
            <w:tcW w:type="dxa" w:w="198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현금흐름·방어주·비중 축소</w:t>
            </w:r>
          </w:p>
        </w:tc>
      </w:tr>
    </w:tbl>
    <w:p>
      <w:pPr>
        <w:spacing w:after="160" w:before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EEF2F8"/>
            <w:tcBorders>
              <w:top w:val="nil"/>
              <w:left w:val="single" w:sz="28" w:space="0" w:color="0F2043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before="0"/>
            </w:pPr>
            <w:r/>
            <w:r>
              <w:rPr>
                <w:rFonts w:ascii="맑은 고딕" w:hAnsi="맑은 고딕" w:eastAsia="맑은 고딕"/>
                <w:b/>
                <w:i w:val="0"/>
                <w:color w:val="0F2043"/>
                <w:sz w:val="20"/>
              </w:rPr>
              <w:t>최종 결론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매크로가 시장의 속도를 결정하지만 AI 투자의 방향을 아직 뒤집지는 않았습니다.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주주환원은 한국 메모리의 하방을 강화하지만 원화 강세와 장기금리가 상단을 제약합니다.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따라서 단기에는 유가·10년물·엔화를, 중기에는 토큰 수요·CAPEX·HBM 효율화·추가 환원을 순서대로 확인합니다.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자료 기준과 주의</w:t>
      </w:r>
    </w:p>
    <w:p>
      <w:pPr>
        <w:spacing w:after="120" w:before="0" w:line="283" w:lineRule="auto"/>
        <w:jc w:val="left"/>
      </w:pPr>
      <w:r>
        <w:rPr>
          <w:rFonts w:ascii="맑은 고딕" w:hAnsi="맑은 고딕" w:eastAsia="맑은 고딕"/>
          <w:b w:val="0"/>
          <w:i w:val="0"/>
          <w:color w:val="4B5563"/>
          <w:sz w:val="19"/>
        </w:rPr>
        <w:t>본 보고서는 사용자가 제공한 2026년 8월 19일 퀵 코멘트를 재구성한 자료입니다. Reuters·DART·FT·국내 기사 링크가 포함된 항목은 원 코멘트의 출처 표기를 유지했으며, 모든 수치를 독립적으로 재검증한 실시간 시세 보고서는 아닙니다.</w:t>
      </w:r>
    </w:p>
    <w:p>
      <w:pPr>
        <w:spacing w:after="120" w:before="0" w:line="283" w:lineRule="auto"/>
        <w:jc w:val="left"/>
      </w:pPr>
      <w:r>
        <w:rPr>
          <w:rFonts w:ascii="맑은 고딕" w:hAnsi="맑은 고딕" w:eastAsia="맑은 고딕"/>
          <w:b w:val="0"/>
          <w:i w:val="0"/>
          <w:color w:val="4B5563"/>
          <w:sz w:val="19"/>
        </w:rPr>
        <w:t>수치가 충돌하는 항목은 본문에서 채택 기준을 밝혔습니다. 특히 FCF 385조/565조, Moderna 등락률, 환율 민감도 회사명은 원문 내 불일치를 교정하거나 병기했습니다.</w:t>
      </w:r>
    </w:p>
    <w:p>
      <w:pPr>
        <w:spacing w:after="120" w:before="0" w:line="283" w:lineRule="auto"/>
        <w:jc w:val="left"/>
      </w:pPr>
      <w:r>
        <w:rPr>
          <w:rFonts w:ascii="맑은 고딕" w:hAnsi="맑은 고딕" w:eastAsia="맑은 고딕"/>
          <w:b/>
          <w:i w:val="0"/>
          <w:color w:val="991B1B"/>
          <w:sz w:val="19"/>
        </w:rPr>
        <w:t>투자 권유가 아니며, 실제 의사결정 전 공시·회사자료·실시간 시장 데이터를 다시 확인해야 합니다.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907" w:bottom="907" w:left="90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eastAsia="맑은 고딕"/>
        <w:b w:val="0"/>
        <w:i w:val="0"/>
        <w:color w:val="4B5563"/>
        <w:sz w:val="16"/>
      </w:rPr>
      <w:t xml:space="preserve">영상 녹화용 정리  ·  숫자·시나리오는 공개 코멘트 기준  ·  </w:t>
    </w:r>
    <w:fldSimple w:instr=" PAGE ">
      <w:r>
        <w:rPr>
          <w:sz w:val="16"/>
          <w:color w:val="4B5563"/>
          <w:rFonts w:ascii="맑은 고딕" w:hAnsi="맑은 고딕" w:eastAsia="맑은 고딕"/>
        </w:rPr>
        <w:t/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맑은 고딕" w:hAnsi="맑은 고딕" w:eastAsia="맑은 고딕"/>
        <w:b w:val="0"/>
        <w:i w:val="0"/>
        <w:color w:val="4B5563"/>
        <w:sz w:val="17"/>
      </w:rPr>
      <w:t>2026. 8. 19.  ·  MARKET STRATEGY  ·  QUICK COMMENT SYNTHESIS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83" w:lineRule="auto"/>
    </w:pPr>
    <w:rPr>
      <w:rFonts w:ascii="맑은 고딕" w:hAnsi="맑은 고딕" w:eastAsia="맑은 고딕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8월 19일 시장전략 보고서</dc:title>
  <dc:subject>매크로·반도체·주주환원·섹터 로테이션</dc:subject>
  <dc:creator>준혁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