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83" w:lineRule="auto"/>
        <w:jc w:val="center"/>
      </w:pPr>
      <w:r>
        <w:rPr>
          <w:rFonts w:ascii="맑은 고딕" w:hAnsi="맑은 고딕" w:eastAsia="맑은 고딕"/>
          <w:b w:val="0"/>
          <w:i w:val="0"/>
          <w:color w:val="4B5563"/>
          <w:sz w:val="21"/>
        </w:rPr>
        <w:t>2026. 8. 18. 강의노트  ·  영상 녹화 / 오후–저녁 업로드</w:t>
      </w:r>
    </w:p>
    <w:p>
      <w:pPr>
        <w:spacing w:after="40" w:before="0" w:line="283" w:lineRule="auto"/>
        <w:jc w:val="center"/>
      </w:pPr>
      <w:r>
        <w:rPr>
          <w:rFonts w:ascii="맑은 고딕" w:hAnsi="맑은 고딕" w:eastAsia="맑은 고딕"/>
          <w:b/>
          <w:i w:val="0"/>
          <w:color w:val="B8943A"/>
          <w:sz w:val="26"/>
        </w:rPr>
        <w:t>NON-삼전닉스</w:t>
      </w:r>
    </w:p>
    <w:p>
      <w:pPr>
        <w:spacing w:after="40" w:before="0" w:line="283" w:lineRule="auto"/>
        <w:jc w:val="center"/>
      </w:pPr>
      <w:r>
        <w:rPr>
          <w:rFonts w:ascii="맑은 고딕" w:hAnsi="맑은 고딕" w:eastAsia="맑은 고딕"/>
          <w:b/>
          <w:i w:val="0"/>
          <w:color w:val="0F2043"/>
          <w:sz w:val="44"/>
        </w:rPr>
        <w:t>8월 18일  NON-삼전닉스</w:t>
      </w:r>
    </w:p>
    <w:p>
      <w:pPr>
        <w:spacing w:after="160" w:before="0" w:line="283" w:lineRule="auto"/>
        <w:jc w:val="center"/>
      </w:pPr>
      <w:r>
        <w:rPr>
          <w:rFonts w:ascii="맑은 고딕" w:hAnsi="맑은 고딕" w:eastAsia="맑은 고딕"/>
          <w:b/>
          <w:i w:val="0"/>
          <w:color w:val="1E407C"/>
          <w:sz w:val="32"/>
        </w:rPr>
        <w:t>(소부장, SK, 자동차)</w:t>
      </w:r>
    </w:p>
    <w:p>
      <w:pPr>
        <w:spacing w:after="200" w:before="0" w:line="283" w:lineRule="auto"/>
        <w:jc w:val="center"/>
      </w:pPr>
      <w:r>
        <w:rPr>
          <w:rFonts w:ascii="맑은 고딕" w:hAnsi="맑은 고딕" w:eastAsia="맑은 고딕"/>
          <w:b w:val="0"/>
          <w:i w:val="0"/>
          <w:color w:val="4B5563"/>
          <w:sz w:val="22"/>
        </w:rPr>
        <w:t>테스 · 한미반도체 · 원익IPS  |  SK 지주사 SOTP · SK에코플랜트  |  Atlas</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오늘 한 장으로 보면</w:t>
            </w:r>
          </w:p>
          <w:p>
            <w:pPr>
              <w:spacing w:after="20" w:before="0" w:line="276" w:lineRule="auto"/>
            </w:pPr>
            <w:r>
              <w:rPr>
                <w:rFonts w:ascii="맑은 고딕" w:hAnsi="맑은 고딕" w:eastAsia="맑은 고딕"/>
                <w:b w:val="0"/>
                <w:i w:val="0"/>
                <w:color w:val="1A1A1A"/>
                <w:sz w:val="21"/>
              </w:rPr>
              <w:t>공통 분모는 AI CAPEX입니다. 다만 수요를 정확히 예측할 수 없으니 모델·데이터센터·GPU 전망에 기대고, 자금이 빠듯하니 서로 묶어서 가는 구간입니다.</w:t>
            </w:r>
          </w:p>
          <w:p>
            <w:pPr>
              <w:spacing w:after="20" w:before="0" w:line="276" w:lineRule="auto"/>
            </w:pPr>
            <w:r>
              <w:rPr>
                <w:rFonts w:ascii="맑은 고딕" w:hAnsi="맑은 고딕" w:eastAsia="맑은 고딕"/>
                <w:b w:val="0"/>
                <w:i w:val="0"/>
                <w:color w:val="1A1A1A"/>
                <w:sz w:val="21"/>
              </w:rPr>
              <w:t>그래서 장비는 수주, SK는 할인율, Atlas는 실제 공장 배치를 확인하면 됩니다. 우려·시나리오·병목이 말끔히 해소되기 전까지 양면적 시각은 계속됩니다.</w:t>
            </w:r>
          </w:p>
        </w:tc>
      </w:tr>
    </w:tbl>
    <w:p>
      <w:pPr>
        <w:spacing w:after="120"/>
      </w:pPr>
    </w:p>
    <w:p>
      <w:pPr>
        <w:spacing w:before="200" w:after="80"/>
      </w:pPr>
      <w:r>
        <w:rPr>
          <w:rFonts w:ascii="맑은 고딕" w:hAnsi="맑은 고딕" w:eastAsia="맑은 고딕"/>
          <w:b/>
          <w:i w:val="0"/>
          <w:color w:val="1E407C"/>
          <w:sz w:val="26"/>
        </w:rPr>
        <w:t>강의 구성</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24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파트</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대상</w:t>
            </w:r>
          </w:p>
        </w:tc>
        <w:tc>
          <w:tcPr>
            <w:tcW w:type="dxa" w:w="623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오늘 확인할 것</w:t>
            </w:r>
          </w:p>
        </w:tc>
      </w:tr>
      <w:tr>
        <w:trPr>
          <w:cantSplit/>
        </w:trPr>
        <w:tc>
          <w:tcPr>
            <w:tcW w:type="dxa" w:w="124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시장 프레임</w:t>
            </w:r>
          </w:p>
        </w:tc>
        <w:tc>
          <w:tcPr>
            <w:tcW w:type="dxa" w:w="623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Dark GPU — 수요 부정이 아니라 과잉투자·금융 레버리지 경고</w:t>
            </w:r>
          </w:p>
        </w:tc>
      </w:tr>
      <w:tr>
        <w:trPr>
          <w:cantSplit/>
        </w:trPr>
        <w:tc>
          <w:tcPr>
            <w:tcW w:type="dxa" w:w="124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테스</w:t>
            </w:r>
          </w:p>
        </w:tc>
        <w:tc>
          <w:tcPr>
            <w:tcW w:type="dxa" w:w="623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수주 2배 · DRAM+NAND 동시 수혜 · BSD/Tetra 성장 옵션</w:t>
            </w:r>
          </w:p>
        </w:tc>
      </w:tr>
      <w:tr>
        <w:trPr>
          <w:cantSplit/>
        </w:trPr>
        <w:tc>
          <w:tcPr>
            <w:tcW w:type="dxa" w:w="124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한미반도체</w:t>
            </w:r>
          </w:p>
        </w:tc>
        <w:tc>
          <w:tcPr>
            <w:tcW w:type="dxa" w:w="623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HBM4 TCB · 한화세미텍 변수 · 고객 다변화</w:t>
            </w:r>
          </w:p>
        </w:tc>
      </w:tr>
      <w:tr>
        <w:trPr>
          <w:cantSplit/>
        </w:trPr>
        <w:tc>
          <w:tcPr>
            <w:tcW w:type="dxa" w:w="124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원익IPS</w:t>
            </w:r>
          </w:p>
        </w:tc>
        <w:tc>
          <w:tcPr>
            <w:tcW w:type="dxa" w:w="623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2Q 부진 ≠ 수주 훼손 · 2027 성장 지속 여부</w:t>
            </w:r>
          </w:p>
        </w:tc>
      </w:tr>
      <w:tr>
        <w:trPr>
          <w:cantSplit/>
        </w:trPr>
        <w:tc>
          <w:tcPr>
            <w:tcW w:type="dxa" w:w="124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5</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SK / 에코플랜트</w:t>
            </w:r>
          </w:p>
        </w:tc>
        <w:tc>
          <w:tcPr>
            <w:tcW w:type="dxa" w:w="623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SOTP 할인율 · 에코플랜트 저평가 · 실트론 매각</w:t>
            </w:r>
          </w:p>
        </w:tc>
      </w:tr>
      <w:tr>
        <w:trPr>
          <w:cantSplit/>
        </w:trPr>
        <w:tc>
          <w:tcPr>
            <w:tcW w:type="dxa" w:w="124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6</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Atlas</w:t>
            </w:r>
          </w:p>
        </w:tc>
        <w:tc>
          <w:tcPr>
            <w:tcW w:type="dxa" w:w="623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연구용 → 공장 투입 · 모비스/글로비스 수혜</w:t>
            </w:r>
          </w:p>
        </w:tc>
      </w:tr>
      <w:tr>
        <w:trPr>
          <w:cantSplit/>
        </w:trPr>
        <w:tc>
          <w:tcPr>
            <w:tcW w:type="dxa" w:w="124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보론</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리노공업 · 메모리</w:t>
            </w:r>
          </w:p>
        </w:tc>
        <w:tc>
          <w:tcPr>
            <w:tcW w:type="dxa" w:w="623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파업·마진 / ADR·PER 비교 프레임</w:t>
            </w:r>
          </w:p>
        </w:tc>
      </w:tr>
    </w:tbl>
    <w:p>
      <w:pPr>
        <w:spacing w:after="160" w:before="40"/>
      </w:pPr>
    </w:p>
    <w:p>
      <w:pPr>
        <w:spacing w:before="200" w:after="80"/>
      </w:pPr>
      <w:r>
        <w:rPr>
          <w:rFonts w:ascii="맑은 고딕" w:hAnsi="맑은 고딕" w:eastAsia="맑은 고딕"/>
          <w:b/>
          <w:i w:val="0"/>
          <w:color w:val="1E407C"/>
          <w:sz w:val="26"/>
        </w:rPr>
        <w:t>오프닝 멘트 (녹화용)</w:t>
      </w:r>
    </w:p>
    <w:p>
      <w:pPr>
        <w:spacing w:after="120" w:before="0" w:line="283" w:lineRule="auto"/>
        <w:jc w:val="left"/>
      </w:pPr>
      <w:r>
        <w:rPr>
          <w:rFonts w:ascii="맑은 고딕" w:hAnsi="맑은 고딕" w:eastAsia="맑은 고딕"/>
          <w:b w:val="0"/>
          <w:i w:val="0"/>
          <w:color w:val="1A1A1A"/>
          <w:sz w:val="22"/>
        </w:rPr>
        <w:t>오늘은 삼전닉스가 아니라 NON-삼전닉스입니다. 소부장 세 종목 — 테스, 한미반도체, 원익IPS — 그리고 SK 지주사, 특히 SK에코플랜트, 마지막으로 Atlas 포인트입니다. 테스·한미반도체 목표주가 시나리오의 세부 산식은 강의에서 풀겠습니다.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0.  </w:t>
      </w:r>
      <w:r>
        <w:rPr>
          <w:rFonts w:ascii="맑은 고딕" w:hAnsi="맑은 고딕" w:eastAsia="맑은 고딕"/>
          <w:b/>
          <w:i w:val="0"/>
          <w:color w:val="0F2043"/>
          <w:sz w:val="32"/>
        </w:rPr>
        <w:t>오늘 숫자 한 장</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핵심 숫자</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한 줄 결론</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테스</w:t>
            </w:r>
          </w:p>
        </w:tc>
        <w:tc>
          <w:tcPr>
            <w:tcW w:type="dxa" w:w="408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2Q 신규수주 2,823억(QoQ 2배)</w:t>
            </w:r>
          </w:p>
          <w:p>
            <w:pPr>
              <w:spacing w:before="0" w:after="0" w:line="269" w:lineRule="auto"/>
              <w:jc w:val="center"/>
            </w:pPr>
            <w:r>
              <w:rPr>
                <w:rFonts w:ascii="맑은 고딕" w:hAnsi="맑은 고딕" w:eastAsia="맑은 고딕"/>
                <w:b w:val="0"/>
                <w:i w:val="0"/>
                <w:color w:val="1A1A1A"/>
                <w:sz w:val="19"/>
              </w:rPr>
              <w:t>잔고 2,000억+  /  TP 20~23만</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DRAM+NAND 동시. BSD가 성장 옵션</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한미반도체</w:t>
            </w:r>
          </w:p>
        </w:tc>
        <w:tc>
          <w:tcPr>
            <w:tcW w:type="dxa" w:w="408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2Q 매출 2,511억 · OPM 51.9%</w:t>
            </w:r>
          </w:p>
          <w:p>
            <w:pPr>
              <w:spacing w:before="0" w:after="0" w:line="269" w:lineRule="auto"/>
              <w:jc w:val="center"/>
            </w:pPr>
            <w:r>
              <w:rPr>
                <w:rFonts w:ascii="맑은 고딕" w:hAnsi="맑은 고딕" w:eastAsia="맑은 고딕"/>
                <w:b w:val="0"/>
                <w:i w:val="0"/>
                <w:color w:val="1A1A1A"/>
                <w:sz w:val="19"/>
              </w:rPr>
              <w:t>BofA 42만 vs 상상인 38만</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핵심은 TCB 성장률 × 점유율</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원익IPS</w:t>
            </w:r>
          </w:p>
        </w:tc>
        <w:tc>
          <w:tcPr>
            <w:tcW w:type="dxa" w:w="408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1Q 잔고 ~4,000억</w:t>
            </w:r>
          </w:p>
          <w:p>
            <w:pPr>
              <w:spacing w:before="0" w:after="0" w:line="269" w:lineRule="auto"/>
              <w:jc w:val="center"/>
            </w:pPr>
            <w:r>
              <w:rPr>
                <w:rFonts w:ascii="맑은 고딕" w:hAnsi="맑은 고딕" w:eastAsia="맑은 고딕"/>
                <w:b w:val="0"/>
                <w:i w:val="0"/>
                <w:color w:val="1A1A1A"/>
                <w:sz w:val="19"/>
              </w:rPr>
              <w:t>TP 평균 14.8만 → 안전마진 10.4~11.8만</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하반기 레벨업 vs 2027 정점론</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w:t>
            </w:r>
          </w:p>
        </w:tc>
        <w:tc>
          <w:tcPr>
            <w:tcW w:type="dxa" w:w="408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NAV 81.7조 × 할인 41%</w:t>
            </w:r>
          </w:p>
          <w:p>
            <w:pPr>
              <w:spacing w:before="0" w:after="0" w:line="269" w:lineRule="auto"/>
              <w:jc w:val="center"/>
            </w:pPr>
            <w:r>
              <w:rPr>
                <w:rFonts w:ascii="맑은 고딕" w:hAnsi="맑은 고딕" w:eastAsia="맑은 고딕"/>
                <w:b w:val="0"/>
                <w:i w:val="0"/>
                <w:color w:val="1A1A1A"/>
                <w:sz w:val="19"/>
              </w:rPr>
              <w:t>대신 TP 88만 유지</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에코플랜트 재평가 시 96~106만</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SK에코플랜트</w:t>
            </w:r>
          </w:p>
        </w:tc>
        <w:tc>
          <w:tcPr>
            <w:tcW w:type="dxa" w:w="408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2Q OP 5,340억 · 잔고 26.8조</w:t>
            </w:r>
          </w:p>
          <w:p>
            <w:pPr>
              <w:spacing w:before="0" w:after="0" w:line="269" w:lineRule="auto"/>
              <w:jc w:val="center"/>
            </w:pPr>
            <w:r>
              <w:rPr>
                <w:rFonts w:ascii="맑은 고딕" w:hAnsi="맑은 고딕" w:eastAsia="맑은 고딕"/>
                <w:b w:val="0"/>
                <w:i w:val="0"/>
                <w:color w:val="1A1A1A"/>
                <w:sz w:val="19"/>
              </w:rPr>
              <w:t>표 가치 2.1조</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반도체·AI DC를 동시에 먹는 회사</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Atlas</w:t>
            </w:r>
          </w:p>
        </w:tc>
        <w:tc>
          <w:tcPr>
            <w:tcW w:type="dxa" w:w="408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2028 HMGMA → 2030 조립 확대</w:t>
            </w:r>
          </w:p>
          <w:p>
            <w:pPr>
              <w:spacing w:before="0" w:after="0" w:line="269" w:lineRule="auto"/>
              <w:jc w:val="center"/>
            </w:pPr>
            <w:r>
              <w:rPr>
                <w:rFonts w:ascii="맑은 고딕" w:hAnsi="맑은 고딕" w:eastAsia="맑은 고딕"/>
                <w:b w:val="0"/>
                <w:i w:val="0"/>
                <w:color w:val="1A1A1A"/>
                <w:sz w:val="19"/>
              </w:rPr>
              <w:t>대당 액추에이터 31개</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성능보다 Fleet × 가동률 × 데이터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리노공업</w:t>
            </w:r>
          </w:p>
        </w:tc>
        <w:tc>
          <w:tcPr>
            <w:tcW w:type="dxa" w:w="408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2Q OPM 51.3% · 파업 약 4주</w:t>
            </w:r>
          </w:p>
          <w:p>
            <w:pPr>
              <w:spacing w:before="0" w:after="0" w:line="269" w:lineRule="auto"/>
              <w:jc w:val="center"/>
            </w:pPr>
            <w:r>
              <w:rPr>
                <w:rFonts w:ascii="맑은 고딕" w:hAnsi="맑은 고딕" w:eastAsia="맑은 고딕"/>
                <w:b w:val="0"/>
                <w:i w:val="0"/>
                <w:color w:val="1A1A1A"/>
                <w:sz w:val="19"/>
              </w:rPr>
              <w:t>삼성 TP 10만(하향)</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매출보다 마진 훼손이 핵심</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1.  </w:t>
      </w:r>
      <w:r>
        <w:rPr>
          <w:rFonts w:ascii="맑은 고딕" w:hAnsi="맑은 고딕" w:eastAsia="맑은 고딕"/>
          <w:b/>
          <w:i w:val="0"/>
          <w:color w:val="0F2043"/>
          <w:sz w:val="32"/>
        </w:rPr>
        <w:t>AI 인프라 금융과 Dark GPU</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핵심은 “엔비디아 GPU 수요가 당장 꺾인다”가 아닙니다.</w:t>
            </w:r>
          </w:p>
          <w:p>
            <w:pPr>
              <w:spacing w:after="20" w:before="0" w:line="276" w:lineRule="auto"/>
            </w:pPr>
            <w:r>
              <w:rPr>
                <w:rFonts w:ascii="맑은 고딕" w:hAnsi="맑은 고딕" w:eastAsia="맑은 고딕"/>
                <w:b w:val="0"/>
                <w:i w:val="0"/>
                <w:color w:val="1A1A1A"/>
                <w:sz w:val="21"/>
              </w:rPr>
              <w:t>AI 인프라에 금융이 붙으면서 ‘과잉투자 위험’이 커질 수 있다는 경고입니다.</w:t>
            </w:r>
          </w:p>
        </w:tc>
      </w:tr>
    </w:tbl>
    <w:p>
      <w:pPr>
        <w:spacing w:after="120"/>
      </w:pPr>
    </w:p>
    <w:p>
      <w:pPr>
        <w:spacing w:before="200" w:after="80"/>
      </w:pPr>
      <w:r>
        <w:rPr>
          <w:rFonts w:ascii="맑은 고딕" w:hAnsi="맑은 고딕" w:eastAsia="맑은 고딕"/>
          <w:b/>
          <w:i w:val="0"/>
          <w:color w:val="1E407C"/>
          <w:sz w:val="26"/>
        </w:rPr>
        <w:t>1) 중국 언론이 전한 Sacks 발언 요약</w:t>
      </w:r>
    </w:p>
    <w:p>
      <w:pPr>
        <w:spacing w:after="120" w:before="0" w:line="283" w:lineRule="auto"/>
        <w:jc w:val="left"/>
      </w:pPr>
      <w:r>
        <w:rPr>
          <w:rFonts w:ascii="맑은 고딕" w:hAnsi="맑은 고딕" w:eastAsia="맑은 고딕"/>
          <w:b w:val="0"/>
          <w:i w:val="0"/>
          <w:color w:val="1A1A1A"/>
          <w:sz w:val="22"/>
        </w:rPr>
        <w:t>월가견문(wallstreetcn) 보도: 엔비디아 5,000억 달러 AI 금융 계획에 숨은 우려, 트럼프 고문 ‘다크 GPU’ 과잉 위험 경고.</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트럼프 대통령 기술 고문 David Sacks는 팟캐스트에서, 엔비디아 5,000억 달러 AI 금융 계획이 직면한 가장 큰 위험을 연산능력 과잉으로 지목.</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인터넷 버블 이후 ‘다크 광섬유(dark fiber)’ 위기에 비유. GPU가 대량 유휴 상태에 놓이고 가격이 붕괴하면 AI 인프라 투자망 전체에 충격.</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동시에 데이터센터 건설에 대한 정치적 반발이 오히려 과잉 공급을 막는 역할을 할 수도 있다고 지적.</w:t>
      </w:r>
    </w:p>
    <w:p>
      <w:pPr>
        <w:spacing w:before="200" w:after="80"/>
      </w:pPr>
      <w:r>
        <w:rPr>
          <w:rFonts w:ascii="맑은 고딕" w:hAnsi="맑은 고딕" w:eastAsia="맑은 고딕"/>
          <w:b/>
          <w:i w:val="0"/>
          <w:color w:val="1E407C"/>
          <w:sz w:val="26"/>
        </w:rPr>
        <w:t>2) Dark GPU가 정확히 무엇인가</w:t>
      </w:r>
    </w:p>
    <w:p>
      <w:pPr>
        <w:spacing w:after="120" w:before="0" w:line="283" w:lineRule="auto"/>
        <w:jc w:val="left"/>
      </w:pPr>
      <w:r>
        <w:rPr>
          <w:rFonts w:ascii="맑은 고딕" w:hAnsi="맑은 고딕" w:eastAsia="맑은 고딕"/>
          <w:b w:val="0"/>
          <w:i w:val="0"/>
          <w:color w:val="1A1A1A"/>
          <w:sz w:val="22"/>
        </w:rPr>
        <w:t>과거 닷컴버블 때 통신업체들이 인터넷 수요를 지나치게 낙관해 광섬유를 대량 설치했습니다. 버블 붕괴 후 상당 부분이 사용되지 않았고, 이를 Dark Fiber(미사용 광섬유)라고 불렀습니다.</w:t>
      </w:r>
    </w:p>
    <w:p>
      <w:pPr>
        <w:spacing w:before="80" w:after="160" w:line="288" w:lineRule="auto"/>
        <w:jc w:val="center"/>
      </w:pPr>
      <w:r>
        <w:rPr>
          <w:rFonts w:ascii="맑은 고딕" w:hAnsi="맑은 고딕" w:eastAsia="맑은 고딕"/>
          <w:b/>
          <w:i w:val="0"/>
          <w:color w:val="0F2043"/>
          <w:sz w:val="22"/>
        </w:rPr>
        <w:t>데이터센터 건설</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GPU 대량 구매</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AI 수요 예상</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실제 사용률 부족</w:t>
      </w:r>
    </w:p>
    <w:p>
      <w:pPr>
        <w:spacing w:after="120" w:before="0" w:line="283" w:lineRule="auto"/>
        <w:jc w:val="left"/>
      </w:pPr>
      <w:r>
        <w:rPr>
          <w:rFonts w:ascii="맑은 고딕" w:hAnsi="맑은 고딕" w:eastAsia="맑은 고딕"/>
          <w:b w:val="0"/>
          <w:i w:val="0"/>
          <w:color w:val="1A1A1A"/>
          <w:sz w:val="22"/>
        </w:rPr>
        <w:t>이렇게 되면 가동되지 않는 GPU = Dark GPU가 됩니다. GPU 자체가 고장 난다는 의미가 아니라, 비싸게 투자했지만 충분히 사용되지 않는 연산능력을 뜻합니다. Sacks는 이를 AI 인프라의 가장 큰 잠재적 위험으로 지목했습니다.</w:t>
      </w:r>
    </w:p>
    <w:p>
      <w:pPr>
        <w:spacing w:before="200" w:after="80"/>
      </w:pPr>
      <w:r>
        <w:rPr>
          <w:rFonts w:ascii="맑은 고딕" w:hAnsi="맑은 고딕" w:eastAsia="맑은 고딕"/>
          <w:b/>
          <w:i w:val="0"/>
          <w:color w:val="1E407C"/>
          <w:sz w:val="26"/>
        </w:rPr>
        <w:t>3) 금융이 붙으면 속도가 빨라진다 — 그리고 반대로도</w:t>
      </w: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순방향 레버리지</w:t>
            </w:r>
          </w:p>
          <w:p>
            <w:pPr>
              <w:spacing w:after="20" w:before="0" w:line="276" w:lineRule="auto"/>
            </w:pPr>
            <w:r>
              <w:rPr>
                <w:rFonts w:ascii="맑은 고딕" w:hAnsi="맑은 고딕" w:eastAsia="맑은 고딕"/>
                <w:b w:val="0"/>
                <w:i w:val="0"/>
                <w:color w:val="1A1A1A"/>
                <w:sz w:val="21"/>
              </w:rPr>
              <w:t>AI 수요  →  투자  →  GPU 구매의 속도가 빨라집니다.</w:t>
            </w:r>
          </w:p>
        </w:tc>
      </w:tr>
    </w:tbl>
    <w:p>
      <w:pPr>
        <w:spacing w:after="120"/>
      </w:pP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역방향 레버리지 (수요가 예상보다 느릴 때)</w:t>
            </w:r>
          </w:p>
          <w:p>
            <w:pPr>
              <w:spacing w:after="20" w:before="0" w:line="276" w:lineRule="auto"/>
            </w:pPr>
            <w:r>
              <w:rPr>
                <w:rFonts w:ascii="맑은 고딕" w:hAnsi="맑은 고딕" w:eastAsia="맑은 고딕"/>
                <w:b w:val="0"/>
                <w:i w:val="0"/>
                <w:color w:val="1A1A1A"/>
                <w:sz w:val="21"/>
              </w:rPr>
              <w:t>GPU 과잉 → 가동률 하락 → GPU 임대료/가격 하락</w:t>
            </w:r>
          </w:p>
          <w:p>
            <w:pPr>
              <w:spacing w:after="20" w:before="0" w:line="276" w:lineRule="auto"/>
            </w:pPr>
            <w:r>
              <w:rPr>
                <w:rFonts w:ascii="맑은 고딕" w:hAnsi="맑은 고딕" w:eastAsia="맑은 고딕"/>
                <w:b w:val="0"/>
                <w:i w:val="0"/>
                <w:color w:val="1A1A1A"/>
                <w:sz w:val="21"/>
              </w:rPr>
              <w:t>→ 데이터센터 수익성 악화 → 금융비용 부담 → 투자 축소</w:t>
            </w:r>
          </w:p>
        </w:tc>
      </w:tr>
    </w:tbl>
    <w:p>
      <w:pPr>
        <w:spacing w:after="120"/>
      </w:pPr>
    </w:p>
    <w:p>
      <w:pPr>
        <w:spacing w:before="200" w:after="80"/>
      </w:pPr>
      <w:r>
        <w:rPr>
          <w:rFonts w:ascii="맑은 고딕" w:hAnsi="맑은 고딕" w:eastAsia="맑은 고딕"/>
          <w:b/>
          <w:i w:val="0"/>
          <w:color w:val="1E407C"/>
          <w:sz w:val="26"/>
        </w:rPr>
        <w:t>4) Sacks는 AI 수요를 부정한 것이 아니다</w:t>
      </w:r>
    </w:p>
    <w:p>
      <w:pPr>
        <w:spacing w:after="120" w:before="0" w:line="283" w:lineRule="auto"/>
        <w:jc w:val="left"/>
      </w:pPr>
      <w:r>
        <w:rPr>
          <w:rFonts w:ascii="맑은 고딕" w:hAnsi="맑은 고딕" w:eastAsia="맑은 고딕"/>
          <w:b w:val="0"/>
          <w:i w:val="0"/>
          <w:color w:val="1A1A1A"/>
          <w:sz w:val="22"/>
        </w:rPr>
        <w:t>의외로 Sacks는 AI 수요 자체를 부정하지 않았습니다. 오히려 현재 상황에서 데이터센터 건설의 정치적·물리적 장애물이 Dark GPU를 막아주는 역할을 할 수 있다고 봅니다.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그의 안전 조건</w:t>
            </w:r>
          </w:p>
          <w:p>
            <w:pPr>
              <w:spacing w:after="20" w:before="0" w:line="276" w:lineRule="auto"/>
            </w:pPr>
            <w:r>
              <w:rPr>
                <w:rFonts w:ascii="맑은 고딕" w:hAnsi="맑은 고딕" w:eastAsia="맑은 고딕"/>
                <w:b w:val="0"/>
                <w:i w:val="0"/>
                <w:color w:val="1A1A1A"/>
                <w:sz w:val="21"/>
              </w:rPr>
              <w:t>AI 수요 증가 속도  =  데이터센터 건설 속도  가 되는 것이 오히려 안전하다.</w:t>
            </w:r>
          </w:p>
        </w:tc>
      </w:tr>
    </w:tbl>
    <w:p>
      <w:pPr>
        <w:spacing w:after="120"/>
      </w:pPr>
    </w:p>
    <w:p>
      <w:pPr>
        <w:spacing w:after="120" w:before="0" w:line="283" w:lineRule="auto"/>
        <w:jc w:val="left"/>
      </w:pPr>
      <w:r>
        <w:rPr>
          <w:rFonts w:ascii="맑은 고딕" w:hAnsi="맑은 고딕" w:eastAsia="맑은 고딕"/>
          <w:b w:val="0"/>
          <w:i w:val="0"/>
          <w:color w:val="1A1A1A"/>
          <w:sz w:val="22"/>
        </w:rPr>
        <w:t>데이터센터는 GPU만 주문한다고 바로 가동할 수 없습니다.</w:t>
      </w:r>
    </w:p>
    <w:p>
      <w:pPr>
        <w:spacing w:before="80" w:after="160" w:line="288" w:lineRule="auto"/>
        <w:jc w:val="center"/>
      </w:pPr>
      <w:r>
        <w:rPr>
          <w:rFonts w:ascii="맑은 고딕" w:hAnsi="맑은 고딕" w:eastAsia="맑은 고딕"/>
          <w:b/>
          <w:i w:val="0"/>
          <w:color w:val="0F2043"/>
          <w:sz w:val="22"/>
        </w:rPr>
        <w:t>전력</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송전망</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부지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인허가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냉각</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데이터센터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GPU</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네트워크</w:t>
      </w:r>
    </w:p>
    <w:p>
      <w:pPr>
        <w:spacing w:after="120" w:before="0" w:line="283" w:lineRule="auto"/>
        <w:jc w:val="left"/>
      </w:pPr>
      <w:r>
        <w:rPr>
          <w:rFonts w:ascii="맑은 고딕" w:hAnsi="맑은 고딕" w:eastAsia="맑은 고딕"/>
          <w:b w:val="0"/>
          <w:i w:val="0"/>
          <w:color w:val="1A1A1A"/>
          <w:sz w:val="22"/>
        </w:rPr>
        <w:t>그래서 정치적 반발과 인허가 지연이 역설적으로 AI 공급과잉을 방지하는 브레이크가 될 수 있다는 논리입니다.</w:t>
      </w:r>
    </w:p>
    <w:p>
      <w:pPr>
        <w:spacing w:before="200" w:after="80"/>
      </w:pPr>
      <w:r>
        <w:rPr>
          <w:rFonts w:ascii="맑은 고딕" w:hAnsi="맑은 고딕" w:eastAsia="맑은 고딕"/>
          <w:b/>
          <w:i w:val="0"/>
          <w:color w:val="1E407C"/>
          <w:sz w:val="26"/>
        </w:rPr>
        <w:t>5) 그래서 양면적 시각이 계속된다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모든 것은 미래 어느 시점의 최종수요입니다. 그걸 정확히 아무도 예측하지 못합니다.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그나마 AI 모델, 데이터센터, GPU 업체 전망에 기대는 것입니다.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그런데 투자는 GO GO 하는데/해야 하는데, 자금이 딸릴 것 같으니 서로 묶어서 가보자는 것입니다.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앞으로도 이런 우려(시나리오)와 병목이 말끔히 해소되기 전까지, 양면적 시각은 계속될 것입니다.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오늘 종목과의 연결</w:t>
            </w:r>
          </w:p>
          <w:p>
            <w:pPr>
              <w:spacing w:after="20" w:before="0" w:line="276" w:lineRule="auto"/>
            </w:pPr>
            <w:r>
              <w:rPr>
                <w:rFonts w:ascii="맑은 고딕" w:hAnsi="맑은 고딕" w:eastAsia="맑은 고딕"/>
                <w:b w:val="0"/>
                <w:i w:val="0"/>
                <w:color w:val="1A1A1A"/>
                <w:sz w:val="21"/>
              </w:rPr>
              <w:t>테스·한미·원익IPS = CAPEX가 장비 수주로 떨어지는 속도</w:t>
            </w:r>
          </w:p>
          <w:p>
            <w:pPr>
              <w:spacing w:after="20" w:before="0" w:line="276" w:lineRule="auto"/>
            </w:pPr>
            <w:r>
              <w:rPr>
                <w:rFonts w:ascii="맑은 고딕" w:hAnsi="맑은 고딕" w:eastAsia="맑은 고딕"/>
                <w:b w:val="0"/>
                <w:i w:val="0"/>
                <w:color w:val="1A1A1A"/>
                <w:sz w:val="21"/>
              </w:rPr>
              <w:t>SK에코플랜트 = 팹 건설 + AI DC + 메모리 유통을 동시에 먹는 회사</w:t>
            </w:r>
          </w:p>
          <w:p>
            <w:pPr>
              <w:spacing w:after="20" w:before="0" w:line="276" w:lineRule="auto"/>
            </w:pPr>
            <w:r>
              <w:rPr>
                <w:rFonts w:ascii="맑은 고딕" w:hAnsi="맑은 고딕" w:eastAsia="맑은 고딕"/>
                <w:b w:val="0"/>
                <w:i w:val="0"/>
                <w:color w:val="1A1A1A"/>
                <w:sz w:val="21"/>
              </w:rPr>
              <w:t>Dark GPU 리스크가 현실화되면 가장 먼저 흔들리는 것은 ‘수주 가시성’과 ‘할인율’입니다.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2.  </w:t>
      </w:r>
      <w:r>
        <w:rPr>
          <w:rFonts w:ascii="맑은 고딕" w:hAnsi="맑은 고딕" w:eastAsia="맑은 고딕"/>
          <w:b/>
          <w:i w:val="0"/>
          <w:color w:val="0F2043"/>
          <w:sz w:val="32"/>
        </w:rPr>
        <w:t>테스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2Q 매출은 서프라이즈, 이익은 일회성 비용. 그러나 신규 수주가 전분기 대비 2배로 늘었고 잔고가 쌓이고 있다.</w:t>
            </w:r>
          </w:p>
          <w:p>
            <w:pPr>
              <w:spacing w:after="20" w:before="0" w:line="276" w:lineRule="auto"/>
            </w:pPr>
            <w:r>
              <w:rPr>
                <w:rFonts w:ascii="맑은 고딕" w:hAnsi="맑은 고딕" w:eastAsia="맑은 고딕"/>
                <w:b w:val="0"/>
                <w:i w:val="0"/>
                <w:color w:val="1A1A1A"/>
                <w:sz w:val="21"/>
              </w:rPr>
              <w:t>기존 ACL/ARC(NAND)에 BSD(HBM/DRAM)와 Tetra(DRAM 선단)가 붙으면 2027년까지 실적 레벨업 옵션이 열린다.</w:t>
            </w:r>
          </w:p>
          <w:p>
            <w:pPr>
              <w:spacing w:after="20" w:before="0" w:line="276" w:lineRule="auto"/>
            </w:pPr>
            <w:r>
              <w:rPr>
                <w:rFonts w:ascii="맑은 고딕" w:hAnsi="맑은 고딕" w:eastAsia="맑은 고딕"/>
                <w:b w:val="0"/>
                <w:i w:val="0"/>
                <w:color w:val="1A1A1A"/>
                <w:sz w:val="21"/>
              </w:rPr>
              <w:t>독점 장비라고 단정하면 안 된다. 핵심은 삼성·하이닉스 퀄리피케이션과 양산 확대다.</w:t>
            </w:r>
          </w:p>
        </w:tc>
      </w:tr>
    </w:tbl>
    <w:p>
      <w:pPr>
        <w:spacing w:after="120"/>
      </w:pPr>
    </w:p>
    <w:p>
      <w:pPr>
        <w:spacing w:before="200" w:after="80"/>
      </w:pPr>
      <w:r>
        <w:rPr>
          <w:rFonts w:ascii="맑은 고딕" w:hAnsi="맑은 고딕" w:eastAsia="맑은 고딕"/>
          <w:b/>
          <w:i w:val="0"/>
          <w:color w:val="1E407C"/>
          <w:sz w:val="26"/>
        </w:rPr>
        <w:t>1) 2Q26 리뷰 — 증권사 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58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증권사</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제목/톤</w:t>
            </w:r>
          </w:p>
        </w:tc>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TP</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포인트</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SK증권</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2Q26 Review, TP 유지</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23만원 유지</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신규 수주 2,823억, QoQ 2배. 잔고 고려 시 하반기 컨센 상회 여지</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삼성증권</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안팎으로 좋다, TP 상향</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20만원 상향</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R&amp;D 일시 증가로 OP 부합. BSD 기여 확대. 27년 PER 30배</w:t>
            </w:r>
          </w:p>
        </w:tc>
      </w:tr>
    </w:tbl>
    <w:p>
      <w:pPr>
        <w:spacing w:after="160" w:before="40"/>
      </w:pPr>
    </w:p>
    <w:p>
      <w:pPr>
        <w:spacing w:after="120" w:before="0" w:line="283" w:lineRule="auto"/>
        <w:jc w:val="left"/>
      </w:pPr>
      <w:r>
        <w:rPr>
          <w:rFonts w:ascii="맑은 고딕" w:hAnsi="맑은 고딕" w:eastAsia="맑은 고딕"/>
          <w:b w:val="0"/>
          <w:i w:val="0"/>
          <w:color w:val="1A1A1A"/>
          <w:sz w:val="22"/>
        </w:rPr>
        <w:t>삼성증권 밸류: 27년 PER 30배. 글로벌 전공정 장비 상위 5개사 평균 30배. 과거 테스는 제한적 포트폴리오·높은 NAND 의존으로 동종 대비 할인 거래.</w:t>
      </w:r>
    </w:p>
    <w:p>
      <w:pPr>
        <w:spacing w:after="120" w:before="0" w:line="283" w:lineRule="auto"/>
        <w:jc w:val="left"/>
      </w:pPr>
      <w:r>
        <w:rPr>
          <w:rFonts w:ascii="맑은 고딕" w:hAnsi="맑은 고딕" w:eastAsia="맑은 고딕"/>
          <w:b/>
          <w:i w:val="0"/>
          <w:color w:val="7A5C12"/>
          <w:sz w:val="21"/>
        </w:rPr>
        <w:t>※ 테스·한미반도체 TP 시나리오의 세부 산식은 강의에서 다룹니다.</w:t>
      </w:r>
    </w:p>
    <w:p>
      <w:pPr>
        <w:spacing w:before="200" w:after="80"/>
      </w:pPr>
      <w:r>
        <w:rPr>
          <w:rFonts w:ascii="맑은 고딕" w:hAnsi="맑은 고딕" w:eastAsia="맑은 고딕"/>
          <w:b/>
          <w:i w:val="0"/>
          <w:color w:val="1E407C"/>
          <w:sz w:val="26"/>
        </w:rPr>
        <w:t>2) 실적 흐름 — 수주가 매출로 바뀌는 경로</w:t>
      </w:r>
    </w:p>
    <w:p>
      <w:pPr>
        <w:spacing w:before="80" w:after="160" w:line="288" w:lineRule="auto"/>
        <w:jc w:val="center"/>
      </w:pPr>
      <w:r>
        <w:rPr>
          <w:rFonts w:ascii="맑은 고딕" w:hAnsi="맑은 고딕" w:eastAsia="맑은 고딕"/>
          <w:b/>
          <w:i w:val="0"/>
          <w:color w:val="0F2043"/>
          <w:sz w:val="22"/>
        </w:rPr>
        <w:t>2Q 말 수주잔고 2,000억+</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대부분 연내 매출 인식</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3Q26부터 상반기 수주 매출화</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하반기 추가 수주 반영</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연간 컨센 상향 가능</w:t>
      </w:r>
    </w:p>
    <w:p>
      <w:pPr>
        <w:spacing w:after="120" w:before="0" w:line="283" w:lineRule="auto"/>
        <w:jc w:val="left"/>
      </w:pPr>
      <w:r>
        <w:rPr>
          <w:rFonts w:ascii="맑은 고딕" w:hAnsi="맑은 고딕" w:eastAsia="맑은 고딕"/>
          <w:b w:val="0"/>
          <w:i w:val="0"/>
          <w:color w:val="1A1A1A"/>
          <w:sz w:val="22"/>
        </w:rPr>
        <w:t>2Q는 매출 서프라이즈, 이익은 일회성 비용 영향이었습니다. 쌓이는 수주 잔고 흐름이 주가의 중요한 트리거입니다.</w:t>
      </w:r>
    </w:p>
    <w:p>
      <w:pPr>
        <w:spacing w:before="200" w:after="80"/>
      </w:pPr>
      <w:r>
        <w:rPr>
          <w:rFonts w:ascii="맑은 고딕" w:hAnsi="맑은 고딕" w:eastAsia="맑은 고딕"/>
          <w:b/>
          <w:i w:val="0"/>
          <w:color w:val="1E407C"/>
          <w:sz w:val="26"/>
        </w:rPr>
        <w:t>3) 고객·공정 — DRAM + NAND 동시 수혜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삼성전자: P4 → PH4, NAND → 시안, V9 전환 투자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SK하이닉스: M15X DRAM 투자 지속</w:t>
      </w:r>
    </w:p>
    <w:p>
      <w:pPr>
        <w:spacing w:after="120" w:before="0" w:line="283" w:lineRule="auto"/>
        <w:jc w:val="left"/>
      </w:pPr>
      <w:r>
        <w:rPr>
          <w:rFonts w:ascii="맑은 고딕" w:hAnsi="맑은 고딕" w:eastAsia="맑은 고딕"/>
          <w:b w:val="0"/>
          <w:i w:val="0"/>
          <w:color w:val="1A1A1A"/>
          <w:sz w:val="22"/>
        </w:rPr>
        <w:t>즉, DRAM + NAND 동시 수혜가 테스의 강점입니다. 기존 ACL/ARC가 주로 NAND 투자와 연결됐다면, BSD는 DRAM/HBM으로 고객·공정이 확장될 수 있는 장비입니다.</w:t>
      </w:r>
    </w:p>
    <w:p>
      <w:pPr>
        <w:spacing w:before="200" w:after="80"/>
      </w:pPr>
      <w:r>
        <w:rPr>
          <w:rFonts w:ascii="맑은 고딕" w:hAnsi="맑은 고딕" w:eastAsia="맑은 고딕"/>
          <w:b/>
          <w:i w:val="0"/>
          <w:color w:val="1E407C"/>
          <w:sz w:val="26"/>
        </w:rPr>
        <w:t>4) BSD = Backside Deposition (훨씬 중요)</w:t>
      </w:r>
    </w:p>
    <w:p>
      <w:pPr>
        <w:spacing w:after="120" w:before="0" w:line="283" w:lineRule="auto"/>
        <w:jc w:val="left"/>
      </w:pPr>
      <w:r>
        <w:rPr>
          <w:rFonts w:ascii="맑은 고딕" w:hAnsi="맑은 고딕" w:eastAsia="맑은 고딕"/>
          <w:b w:val="0"/>
          <w:i w:val="0"/>
          <w:color w:val="1A1A1A"/>
          <w:sz w:val="22"/>
        </w:rPr>
        <w:t>웨이퍼 뒷면에 막을 입혀 휘어짐(Warpage)을 잡아주는 장비입니다.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HBM·고단화 NAND처럼 웨이퍼가 얇아질수록 휘어짐 문제가 커집니다.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웨이퍼 뒷면에 SiO/SiN 등을 증착해 앞면과 반대 방향의 응력을 만들어 평탄하게 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따라서 HBM 고단화 → BSD 필요성 증가라는 논리.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NAND·DRAM·Foundry 모두 적용 가능.</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테스는 2025년부터 국내 메모리 고객 NAND 공정에 공급.</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현재 HBM용 DRAM 및 다른 메모리 고객의 NAND/Foundry용으로 퀄리피케이션 진행 중.</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“테스만 공급?” → 현재는 그렇게 단정하면 안 됩니다</w:t>
            </w:r>
          </w:p>
          <w:p>
            <w:pPr>
              <w:spacing w:after="20" w:before="0" w:line="276" w:lineRule="auto"/>
            </w:pPr>
            <w:r>
              <w:rPr>
                <w:rFonts w:ascii="맑은 고딕" w:hAnsi="맑은 고딕" w:eastAsia="맑은 고딕"/>
                <w:b w:val="0"/>
                <w:i w:val="0"/>
                <w:color w:val="1A1A1A"/>
                <w:sz w:val="21"/>
              </w:rPr>
              <w:t>BSD가 차별화된 신규 장비인 것은 맞지만, 글로벌 시장에서 테스만 만들 수 있는 독점 장비라고 보기는 어렵습니다.</w:t>
            </w:r>
          </w:p>
          <w:p>
            <w:pPr>
              <w:spacing w:after="20" w:before="0" w:line="276" w:lineRule="auto"/>
            </w:pPr>
            <w:r>
              <w:rPr>
                <w:rFonts w:ascii="맑은 고딕" w:hAnsi="맑은 고딕" w:eastAsia="맑은 고딕"/>
                <w:b w:val="0"/>
                <w:i w:val="0"/>
                <w:color w:val="1A1A1A"/>
                <w:sz w:val="21"/>
              </w:rPr>
              <w:t>중요한 것은 장비 자체의 독점성보다 삼성전자·SK하이닉스에서 실제 퀄리피케이션을 통과하고 양산 적용을 확대할 수 있느냐입니다.</w:t>
            </w:r>
          </w:p>
          <w:p>
            <w:pPr>
              <w:spacing w:after="20" w:before="0" w:line="276" w:lineRule="auto"/>
            </w:pPr>
            <w:r>
              <w:rPr>
                <w:rFonts w:ascii="맑은 고딕" w:hAnsi="맑은 고딕" w:eastAsia="맑은 고딕"/>
                <w:b w:val="0"/>
                <w:i w:val="0"/>
                <w:color w:val="1A1A1A"/>
                <w:sz w:val="21"/>
              </w:rPr>
              <w:t>공개자료상 테스는 이미 국내 메모리 고객 NAND에 공급했고, DRAM/HBM으로 확대 평가 중이라는 점이 핵심입니다.</w:t>
            </w:r>
          </w:p>
        </w:tc>
      </w:tr>
    </w:tbl>
    <w:p>
      <w:pPr>
        <w:spacing w:after="120"/>
      </w:pPr>
    </w:p>
    <w:p>
      <w:pPr>
        <w:spacing w:before="200" w:after="80"/>
      </w:pPr>
      <w:r>
        <w:rPr>
          <w:rFonts w:ascii="맑은 고딕" w:hAnsi="맑은 고딕" w:eastAsia="맑은 고딕"/>
          <w:b/>
          <w:i w:val="0"/>
          <w:color w:val="1E407C"/>
          <w:sz w:val="26"/>
        </w:rPr>
        <w:t>5) Tetra = 고처리량 PECVD</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Quad chamber 구조. 한 번에 웨이퍼 4장을 처리 → Throughput 향상.</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SiCN 박막 증착 용도.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현재 국내 메모리 고객 DRAM용 퀄리피케이션 진행.</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기존 장비보다 ASP가 높은 신규 장비로 평가.</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Tetra도 테스 독점이라고 볼 근거는 없습니다</w:t>
            </w:r>
          </w:p>
          <w:p>
            <w:pPr>
              <w:spacing w:after="20" w:before="0" w:line="276" w:lineRule="auto"/>
            </w:pPr>
            <w:r>
              <w:rPr>
                <w:rFonts w:ascii="맑은 고딕" w:hAnsi="맑은 고딕" w:eastAsia="맑은 고딕"/>
                <w:b w:val="0"/>
                <w:i w:val="0"/>
                <w:color w:val="1A1A1A"/>
                <w:sz w:val="21"/>
              </w:rPr>
              <w:t>PECVD라는 큰 범주에서는 Applied Materials, Lam Research 등 글로벌 업체와 경쟁하고, 국내에도 여러 증착장비 업체가 있습니다.</w:t>
            </w:r>
          </w:p>
          <w:p>
            <w:pPr>
              <w:spacing w:after="20" w:before="0" w:line="276" w:lineRule="auto"/>
            </w:pPr>
            <w:r>
              <w:rPr>
                <w:rFonts w:ascii="맑은 고딕" w:hAnsi="맑은 고딕" w:eastAsia="맑은 고딕"/>
                <w:b w:val="0"/>
                <w:i w:val="0"/>
                <w:color w:val="1A1A1A"/>
                <w:sz w:val="21"/>
              </w:rPr>
              <w:t>Tetra의 의미는 테스가 기존 ACL/ARC 중심에서 DRAM 선단 공정으로 장비 포트폴리오를 확장한다는 것입니다.</w:t>
            </w:r>
          </w:p>
        </w:tc>
      </w:tr>
    </w:tbl>
    <w:p>
      <w:pPr>
        <w:spacing w:after="120"/>
      </w:pPr>
    </w:p>
    <w:p>
      <w:pPr>
        <w:spacing w:before="200" w:after="80"/>
      </w:pPr>
      <w:r>
        <w:rPr>
          <w:rFonts w:ascii="맑은 고딕" w:hAnsi="맑은 고딕" w:eastAsia="맑은 고딕"/>
          <w:b/>
          <w:i w:val="0"/>
          <w:color w:val="1E407C"/>
          <w:sz w:val="26"/>
        </w:rPr>
        <w:t>6) 확인 포인트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3Q부터 상반기 수주가 실제로 매출화되는가.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BSD의 DRAM/HBM 퀄 → 양산 전환 여부.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Tetra DRAM 퀄 통과와 ASP 믹스 개선.</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NAND(시안·V9)와 DRAM(M15X·PH4) 동시 수주가 유지되는가.</w:t>
      </w:r>
    </w:p>
    <w:p>
      <w:pPr>
        <w:spacing w:before="280" w:after="160" w:line="264" w:lineRule="auto"/>
        <w:pBdr>
          <w:bottom w:val="single" w:sz="12" w:space="4" w:color="0F2043"/>
        </w:pBdr>
      </w:pPr>
      <w:r>
        <w:rPr>
          <w:rFonts w:ascii="맑은 고딕" w:hAnsi="맑은 고딕" w:eastAsia="맑은 고딕"/>
          <w:b/>
          <w:i w:val="0"/>
          <w:color w:val="B8943A"/>
          <w:sz w:val="32"/>
        </w:rPr>
        <w:t xml:space="preserve">3.  </w:t>
      </w:r>
      <w:r>
        <w:rPr>
          <w:rFonts w:ascii="맑은 고딕" w:hAnsi="맑은 고딕" w:eastAsia="맑은 고딕"/>
          <w:b/>
          <w:i w:val="0"/>
          <w:color w:val="0F2043"/>
          <w:sz w:val="32"/>
        </w:rPr>
        <w:t>한미반도체</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2Q26은 확실히 강하다. HBM4 양산 본격화 → TC 본더 수요. OPM 51.9% 사상 최대.</w:t>
            </w:r>
          </w:p>
          <w:p>
            <w:pPr>
              <w:spacing w:after="20" w:before="0" w:line="276" w:lineRule="auto"/>
            </w:pPr>
            <w:r>
              <w:rPr>
                <w:rFonts w:ascii="맑은 고딕" w:hAnsi="맑은 고딕" w:eastAsia="맑은 고딕"/>
                <w:b w:val="0"/>
                <w:i w:val="0"/>
                <w:color w:val="1A1A1A"/>
                <w:sz w:val="21"/>
              </w:rPr>
              <w:t>시장의 질문은 실적이 아니라 TCB 시장 성장률 × 한미반도체 점유율이다. 변수는 한화세미텍, 마이크론 발주, 삼성전자향 수주다.</w:t>
            </w:r>
          </w:p>
          <w:p>
            <w:pPr>
              <w:spacing w:after="20" w:before="0" w:line="276" w:lineRule="auto"/>
            </w:pPr>
            <w:r>
              <w:rPr>
                <w:rFonts w:ascii="맑은 고딕" w:hAnsi="맑은 고딕" w:eastAsia="맑은 고딕"/>
                <w:b w:val="0"/>
                <w:i w:val="0"/>
                <w:color w:val="1A1A1A"/>
                <w:sz w:val="21"/>
              </w:rPr>
              <w:t>그래도 HBM 세대가 올라갈수록 장비 난이도가 올라간다. 12단→16단에서 본딩 정밀도와 생산성이 핵심이다.</w:t>
            </w:r>
          </w:p>
        </w:tc>
      </w:tr>
    </w:tbl>
    <w:p>
      <w:pPr>
        <w:spacing w:after="120"/>
      </w:pPr>
    </w:p>
    <w:p>
      <w:pPr>
        <w:spacing w:before="200" w:after="80"/>
      </w:pPr>
      <w:r>
        <w:rPr>
          <w:rFonts w:ascii="맑은 고딕" w:hAnsi="맑은 고딕" w:eastAsia="맑은 고딕"/>
          <w:b/>
          <w:i w:val="0"/>
          <w:color w:val="1E407C"/>
          <w:sz w:val="26"/>
        </w:rPr>
        <w:t>1) 2Q26 실적</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351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c>
          <w:tcPr>
            <w:tcW w:type="dxa" w:w="45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의미</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매출</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2,511억원  ·  +39.5% YoY</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HBM4 양산 본격화</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영업이익</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1,303억원  ·  +51.0% YoY</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레버리지 확인</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영업이익률</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51.9%</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사상 최대 분기 실적</w:t>
            </w:r>
          </w:p>
        </w:tc>
      </w:tr>
    </w:tbl>
    <w:p>
      <w:pPr>
        <w:spacing w:after="160" w:before="40"/>
      </w:pPr>
    </w:p>
    <w:p>
      <w:pPr>
        <w:spacing w:after="120" w:before="0" w:line="283" w:lineRule="auto"/>
        <w:jc w:val="left"/>
      </w:pPr>
      <w:r>
        <w:rPr>
          <w:rFonts w:ascii="맑은 고딕" w:hAnsi="맑은 고딕" w:eastAsia="맑은 고딕"/>
          <w:b w:val="0"/>
          <w:i w:val="0"/>
          <w:color w:val="1A1A1A"/>
          <w:sz w:val="22"/>
        </w:rPr>
        <w:t>특히 메모리 업체들이 HBM4E를 올해 말~내년 초 준비하면서 12단·16단용 차세대 TC 본더 수요가 이어질 가능성이 높습니다.</w:t>
      </w:r>
    </w:p>
    <w:p>
      <w:pPr>
        <w:spacing w:before="200" w:after="80"/>
      </w:pPr>
      <w:r>
        <w:rPr>
          <w:rFonts w:ascii="맑은 고딕" w:hAnsi="맑은 고딕" w:eastAsia="맑은 고딕"/>
          <w:b/>
          <w:i w:val="0"/>
          <w:color w:val="1E407C"/>
          <w:sz w:val="26"/>
        </w:rPr>
        <w:t>2) 증권사 시각 — BofA vs 상상인</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출처</w:t>
            </w:r>
          </w:p>
        </w:tc>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포지션 / TP</w:t>
            </w:r>
          </w:p>
        </w:tc>
        <w:tc>
          <w:tcPr>
            <w:tcW w:type="dxa" w:w="487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산식·논리</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BofA 2월</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Neutral → Buy, TP 30만</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전환의 시작</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BofA 4월</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30만 → 42만</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2028년 EPS × 47배. 과거 평균 PER ~60배보다 보수적</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BofA 이후 보도</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50만까지 제시로 보도</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하반기 매출 약 5,200억, 실적 회복 강하게 전망</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상상인 7/10</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TP 38만</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27~28년 평균 EPS 6,057원 × PER 62.4배 (직전연도 56.7배 +10%)</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같은 47배 비교</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상상인 이익 기준 32만</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BofA 42만 vs 상상인 32만 — 차이 = 이익 추정치</w:t>
            </w:r>
          </w:p>
        </w:tc>
      </w:tr>
    </w:tbl>
    <w:p>
      <w:pPr>
        <w:spacing w:after="160" w:before="40"/>
      </w:pPr>
    </w:p>
    <w:p>
      <w:pPr>
        <w:spacing w:after="120" w:before="0" w:line="283" w:lineRule="auto"/>
        <w:jc w:val="left"/>
      </w:pPr>
      <w:r>
        <w:rPr>
          <w:rFonts w:ascii="맑은 고딕" w:hAnsi="맑은 고딕" w:eastAsia="맑은 고딕"/>
          <w:b w:val="0"/>
          <w:i w:val="0"/>
          <w:color w:val="1A1A1A"/>
          <w:sz w:val="22"/>
        </w:rPr>
        <w:t>BofA의 주장: “2028년 성장성을 보되, 밸류에이션은 오히려 보수적으로 적용했다.” 과거 평균 PER 약 60배 → BofA 적용 47배.</w:t>
      </w:r>
    </w:p>
    <w:p>
      <w:pPr>
        <w:spacing w:after="120" w:before="0" w:line="283" w:lineRule="auto"/>
        <w:jc w:val="left"/>
      </w:pPr>
      <w:r>
        <w:rPr>
          <w:rFonts w:ascii="맑은 고딕" w:hAnsi="맑은 고딕" w:eastAsia="맑은 고딕"/>
          <w:b/>
          <w:i w:val="0"/>
          <w:color w:val="7A5C12"/>
          <w:sz w:val="21"/>
        </w:rPr>
        <w:t>※ 한미반도체 TP 시나리오의 세부 전개는 강의에서 다룹니다.</w:t>
      </w:r>
    </w:p>
    <w:p>
      <w:pPr>
        <w:spacing w:before="160" w:after="60"/>
      </w:pPr>
      <w:r>
        <w:rPr>
          <w:rFonts w:ascii="맑은 고딕" w:hAnsi="맑은 고딕" w:eastAsia="맑은 고딕"/>
          <w:b/>
          <w:i w:val="0"/>
          <w:color w:val="0F2043"/>
          <w:sz w:val="23"/>
        </w:rPr>
        <w:t>BofA 핵심 논리 다섯 가지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TCB 시장 지배력</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SK하이닉스 → Micron → 중국 OSAT 등 고객 다변화</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삼성전자 공급 가능성</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용인 SK하이닉스 + 삼성 P5 신규 팹</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2028년부터 신규 메가팹의 TCB 수요 본격화</w:t>
      </w:r>
    </w:p>
    <w:p>
      <w:pPr>
        <w:spacing w:before="200" w:after="80"/>
      </w:pPr>
      <w:r>
        <w:rPr>
          <w:rFonts w:ascii="맑은 고딕" w:hAnsi="맑은 고딕" w:eastAsia="맑은 고딕"/>
          <w:b/>
          <w:i w:val="0"/>
          <w:color w:val="1E407C"/>
          <w:sz w:val="26"/>
        </w:rPr>
        <w:t>3) 성장 옵션 — HBM 하나에만 의존하지 않는다면</w:t>
      </w:r>
    </w:p>
    <w:p>
      <w:pPr>
        <w:spacing w:after="120" w:before="0" w:line="283" w:lineRule="auto"/>
        <w:jc w:val="left"/>
      </w:pPr>
      <w:r>
        <w:rPr>
          <w:rFonts w:ascii="맑은 고딕" w:hAnsi="맑은 고딕" w:eastAsia="맑은 고딕"/>
          <w:b w:val="0"/>
          <w:i w:val="0"/>
          <w:color w:val="1A1A1A"/>
          <w:sz w:val="22"/>
        </w:rPr>
        <w:t>“HBM 하나에만 의존하지 않는다”가 증명된다면, 기존 한미반도체 = HBM → TC 본더 구조에서 시장이 넓어집니다.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신규 성장축</w:t>
            </w:r>
          </w:p>
        </w:tc>
        <w:tc>
          <w:tcPr>
            <w:tcW w:type="dxa" w:w="45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c>
          <w:tcPr>
            <w:tcW w:type="dxa" w:w="340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의미</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Logic TC 본더</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CoWoS 외주화 확대. OSAT가 로직용 TCB 필요</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한미반도체 신규 시장</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HBF TC 본더</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HBF = High Bandwidth Flash, NAND 기반 AI 메모리</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초기 시장이지만 장기 옵션</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MSVP</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대면적 기판을 자르는 장비. PLP(Panel Level Packaging) 확대</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MSVP 매출 빠른 증가 가능</w:t>
            </w:r>
          </w:p>
        </w:tc>
      </w:tr>
    </w:tbl>
    <w:p>
      <w:pPr>
        <w:spacing w:after="160" w:before="40"/>
      </w:pPr>
    </w:p>
    <w:p>
      <w:pPr>
        <w:spacing w:after="120" w:before="0" w:line="283" w:lineRule="auto"/>
        <w:jc w:val="left"/>
      </w:pPr>
      <w:r>
        <w:rPr>
          <w:rFonts w:ascii="맑은 고딕" w:hAnsi="맑은 고딕" w:eastAsia="맑은 고딕"/>
          <w:b w:val="0"/>
          <w:i w:val="0"/>
          <w:color w:val="1A1A1A"/>
          <w:sz w:val="22"/>
        </w:rPr>
        <w:t>결국 질문은 이것입니다. Logic·HBF·PLP까지 성공한다는 ‘성장 옵션’을 얼마나 반영할 것인가?</w:t>
      </w:r>
    </w:p>
    <w:p>
      <w:pPr>
        <w:spacing w:before="200" w:after="80"/>
      </w:pPr>
      <w:r>
        <w:rPr>
          <w:rFonts w:ascii="맑은 고딕" w:hAnsi="맑은 고딕" w:eastAsia="맑은 고딕"/>
          <w:b/>
          <w:i w:val="0"/>
          <w:color w:val="1E407C"/>
          <w:sz w:val="26"/>
        </w:rPr>
        <w:t>4) 변수는 한화세미텍, 마이크론, 삼성향</w:t>
      </w:r>
    </w:p>
    <w:p>
      <w:pPr>
        <w:spacing w:after="120" w:before="0" w:line="283" w:lineRule="auto"/>
        <w:jc w:val="left"/>
      </w:pPr>
      <w:r>
        <w:rPr>
          <w:rFonts w:ascii="맑은 고딕" w:hAnsi="맑은 고딕" w:eastAsia="맑은 고딕"/>
          <w:b w:val="0"/>
          <w:i w:val="0"/>
          <w:color w:val="1A1A1A"/>
          <w:sz w:val="22"/>
        </w:rPr>
        <w:t>한미반도체의 리스크 = 한화세미텍입니다.</w:t>
      </w:r>
    </w:p>
    <w:p>
      <w:pPr>
        <w:spacing w:after="120" w:before="0" w:line="283" w:lineRule="auto"/>
      </w:pPr>
      <w:r>
        <w:rPr>
          <w:rFonts w:ascii="맑은 고딕" w:hAnsi="맑은 고딕" w:eastAsia="맑은 고딕"/>
          <w:b/>
          <w:i w:val="0"/>
          <w:color w:val="1A1A1A"/>
          <w:sz w:val="22"/>
        </w:rPr>
        <w:t xml:space="preserve">과거:  </w:t>
      </w:r>
      <w:r>
        <w:rPr>
          <w:rFonts w:ascii="맑은 고딕" w:hAnsi="맑은 고딕" w:eastAsia="맑은 고딕"/>
          <w:b w:val="0"/>
          <w:i w:val="0"/>
          <w:color w:val="1A1A1A"/>
          <w:sz w:val="22"/>
        </w:rPr>
        <w:t>SK하이닉스 HBM  →  한미반도체 TCB</w:t>
      </w:r>
    </w:p>
    <w:p>
      <w:pPr>
        <w:spacing w:after="120" w:before="0" w:line="283" w:lineRule="auto"/>
      </w:pPr>
      <w:r>
        <w:rPr>
          <w:rFonts w:ascii="맑은 고딕" w:hAnsi="맑은 고딕" w:eastAsia="맑은 고딕"/>
          <w:b/>
          <w:i w:val="0"/>
          <w:color w:val="1A1A1A"/>
          <w:sz w:val="22"/>
        </w:rPr>
        <w:t xml:space="preserve">앞으로:  </w:t>
      </w:r>
      <w:r>
        <w:rPr>
          <w:rFonts w:ascii="맑은 고딕" w:hAnsi="맑은 고딕" w:eastAsia="맑은 고딕"/>
          <w:b w:val="0"/>
          <w:i w:val="0"/>
          <w:color w:val="1A1A1A"/>
          <w:sz w:val="22"/>
        </w:rPr>
        <w:t>한화세미텍과 경쟁 / 공급망 다변화가 진행될 가능성</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시장이 앞으로 확인하려는 것</w:t>
            </w:r>
          </w:p>
          <w:p>
            <w:pPr>
              <w:spacing w:after="20" w:before="0" w:line="276" w:lineRule="auto"/>
            </w:pPr>
            <w:r>
              <w:rPr>
                <w:rFonts w:ascii="맑은 고딕" w:hAnsi="맑은 고딕" w:eastAsia="맑은 고딕"/>
                <w:b w:val="0"/>
                <w:i w:val="0"/>
                <w:color w:val="1A1A1A"/>
                <w:sz w:val="21"/>
              </w:rPr>
              <w:t>TCB 시장 성장률  ×  한미반도체 점유율</w:t>
            </w:r>
          </w:p>
        </w:tc>
      </w:tr>
    </w:tbl>
    <w:p>
      <w:pPr>
        <w:spacing w:after="120"/>
      </w:pPr>
    </w:p>
    <w:p>
      <w:pPr>
        <w:spacing w:before="200" w:after="80"/>
      </w:pPr>
      <w:r>
        <w:rPr>
          <w:rFonts w:ascii="맑은 고딕" w:hAnsi="맑은 고딕" w:eastAsia="맑은 고딕"/>
          <w:b/>
          <w:i w:val="0"/>
          <w:color w:val="1E407C"/>
          <w:sz w:val="26"/>
        </w:rPr>
        <w:t>5) 그래도 한미가 유리한 이유 — 그리고 기본 가정</w:t>
      </w:r>
    </w:p>
    <w:p>
      <w:pPr>
        <w:spacing w:before="80" w:after="160" w:line="288" w:lineRule="auto"/>
        <w:jc w:val="center"/>
      </w:pPr>
      <w:r>
        <w:rPr>
          <w:rFonts w:ascii="맑은 고딕" w:hAnsi="맑은 고딕" w:eastAsia="맑은 고딕"/>
          <w:b/>
          <w:i w:val="0"/>
          <w:color w:val="0F2043"/>
          <w:sz w:val="22"/>
        </w:rPr>
        <w:t>HBM3E</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HBM4</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HBM4E</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12단 → 16단 이상</w:t>
      </w:r>
    </w:p>
    <w:p>
      <w:pPr>
        <w:spacing w:after="120" w:before="0" w:line="283" w:lineRule="auto"/>
        <w:jc w:val="left"/>
      </w:pPr>
      <w:r>
        <w:rPr>
          <w:rFonts w:ascii="맑은 고딕" w:hAnsi="맑은 고딕" w:eastAsia="맑은 고딕"/>
          <w:b w:val="0"/>
          <w:i w:val="0"/>
          <w:color w:val="1A1A1A"/>
          <w:sz w:val="22"/>
        </w:rPr>
        <w:t>적층수가 증가할수록 본딩 정밀도와 생산성이 중요해집니다.</w:t>
      </w:r>
    </w:p>
    <w:p>
      <w:pPr>
        <w:spacing w:before="160" w:after="60"/>
      </w:pPr>
      <w:r>
        <w:rPr>
          <w:rFonts w:ascii="맑은 고딕" w:hAnsi="맑은 고딕" w:eastAsia="맑은 고딕"/>
          <w:b/>
          <w:i w:val="0"/>
          <w:color w:val="0F2043"/>
          <w:sz w:val="23"/>
        </w:rPr>
        <w:t>기본 가정</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HBM4/HBM4E 수요는 강함</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그러나 한화세미텍 점유율 상승</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한미반도체 TCB 점유율 55~60%</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Micron/중국 고객 증가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삼성 공급은 일부 장비부터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영업이익률은 45~50% 유지</w:t>
      </w:r>
    </w:p>
    <w:p>
      <w:pPr>
        <w:spacing w:before="200" w:after="80"/>
      </w:pPr>
      <w:r>
        <w:rPr>
          <w:rFonts w:ascii="맑은 고딕" w:hAnsi="맑은 고딕" w:eastAsia="맑은 고딕"/>
          <w:b/>
          <w:i w:val="0"/>
          <w:color w:val="1E407C"/>
          <w:sz w:val="26"/>
        </w:rPr>
        <w:t>6) 확인 포인트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한화세미텍 점유율 상승 속도 vs 한미 55~60% 방어.</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마이크론 발주, 중국 OSAT, 삼성전자향 일부 장비 공급의 가시화.</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HBM4E 12단·16단 차세대 TCB 매출 인식 시점.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Logic TCB / MSVP가 ‘옵션’에서 ‘실적’으로 넘어가는지.</w:t>
      </w:r>
    </w:p>
    <w:p>
      <w:pPr>
        <w:spacing w:before="280" w:after="160" w:line="264" w:lineRule="auto"/>
        <w:pBdr>
          <w:bottom w:val="single" w:sz="12" w:space="4" w:color="0F2043"/>
        </w:pBdr>
      </w:pPr>
      <w:r>
        <w:rPr>
          <w:rFonts w:ascii="맑은 고딕" w:hAnsi="맑은 고딕" w:eastAsia="맑은 고딕"/>
          <w:b/>
          <w:i w:val="0"/>
          <w:color w:val="B8943A"/>
          <w:sz w:val="32"/>
        </w:rPr>
        <w:t xml:space="preserve">4.  </w:t>
      </w:r>
      <w:r>
        <w:rPr>
          <w:rFonts w:ascii="맑은 고딕" w:hAnsi="맑은 고딕" w:eastAsia="맑은 고딕"/>
          <w:b/>
          <w:i w:val="0"/>
          <w:color w:val="0F2043"/>
          <w:sz w:val="32"/>
        </w:rPr>
        <w:t>원익IPS</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주류: 2Q 실적은 부진했지만 수주잔고 증가 → 하반기 이익 레벨업.</w:t>
            </w:r>
          </w:p>
          <w:p>
            <w:pPr>
              <w:spacing w:after="20" w:before="0" w:line="276" w:lineRule="auto"/>
            </w:pPr>
            <w:r>
              <w:rPr>
                <w:rFonts w:ascii="맑은 고딕" w:hAnsi="맑은 고딕" w:eastAsia="맑은 고딕"/>
                <w:b w:val="0"/>
                <w:i w:val="0"/>
                <w:color w:val="1A1A1A"/>
                <w:sz w:val="21"/>
              </w:rPr>
              <w:t>BNK만 차별적: 전방 수요 둔화 → 주가 정점 통과 가능성. 실적 개선을 부정하는 것이 아니라, 이미 주가에 상당 부분 반영됐다는 경고.</w:t>
            </w:r>
          </w:p>
          <w:p>
            <w:pPr>
              <w:spacing w:after="20" w:before="0" w:line="276" w:lineRule="auto"/>
            </w:pPr>
            <w:r>
              <w:rPr>
                <w:rFonts w:ascii="맑은 고딕" w:hAnsi="맑은 고딕" w:eastAsia="맑은 고딕"/>
                <w:b w:val="0"/>
                <w:i w:val="0"/>
                <w:color w:val="1A1A1A"/>
                <w:sz w:val="21"/>
              </w:rPr>
              <w:t>논쟁의 핵심은 실적 개선 여부가 아니라 2027년까지 성장이 지속되느냐다.</w:t>
            </w:r>
          </w:p>
        </w:tc>
      </w:tr>
    </w:tbl>
    <w:p>
      <w:pPr>
        <w:spacing w:after="120"/>
      </w:pPr>
    </w:p>
    <w:p>
      <w:pPr>
        <w:spacing w:before="200" w:after="80"/>
      </w:pPr>
      <w:r>
        <w:rPr>
          <w:rFonts w:ascii="맑은 고딕" w:hAnsi="맑은 고딕" w:eastAsia="맑은 고딕"/>
          <w:b/>
          <w:i w:val="0"/>
          <w:color w:val="1E407C"/>
          <w:sz w:val="26"/>
        </w:rPr>
        <w:t>1) 2Q26 이후 증권사 시각</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8/7 전후 대부분 증권사: 목표주가를 하향하더라도 긍정적 톤 유지.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핵심 근거: 수주잔고 증가 + 3Q~4Q 매출 인식 확대.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BNK만 차별적 시각: 전방 수요 둔화 → 주가 정점 통과 가능성.</w:t>
      </w:r>
    </w:p>
    <w:p>
      <w:pPr>
        <w:spacing w:after="120" w:before="0" w:line="283" w:lineRule="auto"/>
        <w:jc w:val="left"/>
      </w:pPr>
      <w:r>
        <w:rPr>
          <w:rFonts w:ascii="맑은 고딕" w:hAnsi="맑은 고딕" w:eastAsia="맑은 고딕"/>
          <w:b w:val="0"/>
          <w:i w:val="0"/>
          <w:color w:val="1A1A1A"/>
          <w:sz w:val="22"/>
        </w:rPr>
        <w:t>현재 논쟁의 핵심 = 실적 개선 여부가 아니라 2027년까지 성장 지속 여부.</w:t>
      </w:r>
    </w:p>
    <w:p>
      <w:pPr>
        <w:spacing w:before="200" w:after="80"/>
      </w:pPr>
      <w:r>
        <w:rPr>
          <w:rFonts w:ascii="맑은 고딕" w:hAnsi="맑은 고딕" w:eastAsia="맑은 고딕"/>
          <w:b/>
          <w:i w:val="0"/>
          <w:color w:val="1E407C"/>
          <w:sz w:val="26"/>
        </w:rPr>
        <w:t>2) 왜 주류는 긍정적인가</w:t>
      </w:r>
    </w:p>
    <w:p>
      <w:pPr>
        <w:spacing w:after="120" w:before="0" w:line="283" w:lineRule="auto"/>
        <w:jc w:val="left"/>
      </w:pPr>
      <w:r>
        <w:rPr>
          <w:rFonts w:ascii="맑은 고딕" w:hAnsi="맑은 고딕" w:eastAsia="맑은 고딕"/>
          <w:b w:val="0"/>
          <w:i w:val="0"/>
          <w:color w:val="1A1A1A"/>
          <w:sz w:val="22"/>
        </w:rPr>
        <w:t>수주가 아직 꺾이지 않았기 때문입니다.</w:t>
      </w:r>
    </w:p>
    <w:p>
      <w:pPr>
        <w:spacing w:before="80" w:after="160" w:line="288" w:lineRule="auto"/>
        <w:jc w:val="center"/>
      </w:pPr>
      <w:r>
        <w:rPr>
          <w:rFonts w:ascii="맑은 고딕" w:hAnsi="맑은 고딕" w:eastAsia="맑은 고딕"/>
          <w:b/>
          <w:i w:val="0"/>
          <w:color w:val="0F2043"/>
          <w:sz w:val="22"/>
        </w:rPr>
        <w:t>1Q 수주잔고 약 4,000억</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2Q 신규 수주도 견조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3Q~4Q 수주잔고 매출화</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하반기 매출·OP 증가</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핵심</w:t>
            </w:r>
          </w:p>
          <w:p>
            <w:pPr>
              <w:spacing w:after="20" w:before="0" w:line="276" w:lineRule="auto"/>
            </w:pPr>
            <w:r>
              <w:rPr>
                <w:rFonts w:ascii="맑은 고딕" w:hAnsi="맑은 고딕" w:eastAsia="맑은 고딕"/>
                <w:b w:val="0"/>
                <w:i w:val="0"/>
                <w:color w:val="1A1A1A"/>
                <w:sz w:val="21"/>
              </w:rPr>
              <w:t>2Q 실적 부진  ≠  수주 사이클 훼손</w:t>
            </w:r>
          </w:p>
        </w:tc>
      </w:tr>
    </w:tbl>
    <w:p>
      <w:pPr>
        <w:spacing w:after="120"/>
      </w:pPr>
    </w:p>
    <w:p>
      <w:pPr>
        <w:spacing w:before="200" w:after="80"/>
      </w:pPr>
      <w:r>
        <w:rPr>
          <w:rFonts w:ascii="맑은 고딕" w:hAnsi="맑은 고딕" w:eastAsia="맑은 고딕"/>
          <w:b/>
          <w:i w:val="0"/>
          <w:color w:val="1E407C"/>
          <w:sz w:val="26"/>
        </w:rPr>
        <w:t>3) 하반기가 중요하다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시점</w:t>
            </w:r>
          </w:p>
        </w:tc>
        <w:tc>
          <w:tcPr>
            <w:tcW w:type="dxa" w:w="476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c>
          <w:tcPr>
            <w:tcW w:type="dxa" w:w="374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봐야 할 것</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1H26</w:t>
            </w:r>
          </w:p>
        </w:tc>
        <w:tc>
          <w:tcPr>
            <w:tcW w:type="dxa" w:w="476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수주 증가, 실적은 기대보다 부진</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이미 확인</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3Q26</w:t>
            </w:r>
          </w:p>
        </w:tc>
        <w:tc>
          <w:tcPr>
            <w:tcW w:type="dxa" w:w="476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수주잔고 본격 매출화, 이익 증가폭 확대 기대</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OP 증가폭이 커지는가</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4Q26</w:t>
            </w:r>
          </w:p>
        </w:tc>
        <w:tc>
          <w:tcPr>
            <w:tcW w:type="dxa" w:w="476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매출 증가 + 영업레버리지, 실적 레벨업 여부 확인</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매출↑와 OPM↑가 동시에 나오는가</w:t>
            </w:r>
          </w:p>
        </w:tc>
      </w:tr>
    </w:tbl>
    <w:p>
      <w:pPr>
        <w:spacing w:after="160" w:before="40"/>
      </w:pPr>
    </w:p>
    <w:p>
      <w:pPr>
        <w:spacing w:before="200" w:after="80"/>
      </w:pPr>
      <w:r>
        <w:rPr>
          <w:rFonts w:ascii="맑은 고딕" w:hAnsi="맑은 고딕" w:eastAsia="맑은 고딕"/>
          <w:b/>
          <w:i w:val="0"/>
          <w:color w:val="1E407C"/>
          <w:sz w:val="26"/>
        </w:rPr>
        <w:t>4) 2027년이 진짜 승부처</w:t>
      </w: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Bull Case</w:t>
            </w:r>
          </w:p>
          <w:p>
            <w:pPr>
              <w:spacing w:after="20" w:before="0" w:line="276" w:lineRule="auto"/>
            </w:pPr>
            <w:r>
              <w:rPr>
                <w:rFonts w:ascii="맑은 고딕" w:hAnsi="맑은 고딕" w:eastAsia="맑은 고딕"/>
                <w:b w:val="0"/>
                <w:i w:val="0"/>
                <w:color w:val="1A1A1A"/>
                <w:sz w:val="21"/>
              </w:rPr>
              <w:t>DRAM + NAND + Foundry + CXMT → 투자 지속 → 신규 수주 증가</w:t>
            </w:r>
          </w:p>
          <w:p>
            <w:pPr>
              <w:spacing w:after="20" w:before="0" w:line="276" w:lineRule="auto"/>
            </w:pPr>
            <w:r>
              <w:rPr>
                <w:rFonts w:ascii="맑은 고딕" w:hAnsi="맑은 고딕" w:eastAsia="맑은 고딕"/>
                <w:b w:val="0"/>
                <w:i w:val="0"/>
                <w:color w:val="1A1A1A"/>
                <w:sz w:val="21"/>
              </w:rPr>
              <w:t>→ 2027년 매출·이익 증가 → 현재 Valuation 부담 완화</w:t>
            </w:r>
          </w:p>
        </w:tc>
      </w:tr>
    </w:tbl>
    <w:p>
      <w:pPr>
        <w:spacing w:after="120"/>
      </w:pP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Bear Case (BNK)</w:t>
            </w:r>
          </w:p>
          <w:p>
            <w:pPr>
              <w:spacing w:after="20" w:before="0" w:line="276" w:lineRule="auto"/>
            </w:pPr>
            <w:r>
              <w:rPr>
                <w:rFonts w:ascii="맑은 고딕" w:hAnsi="맑은 고딕" w:eastAsia="맑은 고딕"/>
                <w:b w:val="0"/>
                <w:i w:val="0"/>
                <w:color w:val="1A1A1A"/>
                <w:sz w:val="21"/>
              </w:rPr>
              <w:t>CAPEX 증가율 둔화 → 신규 수주 둔화 → 2027년 이익 성장 제한</w:t>
            </w:r>
          </w:p>
          <w:p>
            <w:pPr>
              <w:spacing w:after="20" w:before="0" w:line="276" w:lineRule="auto"/>
            </w:pPr>
            <w:r>
              <w:rPr>
                <w:rFonts w:ascii="맑은 고딕" w:hAnsi="맑은 고딕" w:eastAsia="맑은 고딕"/>
                <w:b w:val="0"/>
                <w:i w:val="0"/>
                <w:color w:val="1A1A1A"/>
                <w:sz w:val="21"/>
              </w:rPr>
              <w:t>→ 현재 주가 선반영 부담</w:t>
            </w:r>
          </w:p>
        </w:tc>
      </w:tr>
    </w:tbl>
    <w:p>
      <w:pPr>
        <w:spacing w:after="120"/>
      </w:pPr>
    </w:p>
    <w:p>
      <w:pPr>
        <w:spacing w:before="200" w:after="80"/>
      </w:pPr>
      <w:r>
        <w:rPr>
          <w:rFonts w:ascii="맑은 고딕" w:hAnsi="맑은 고딕" w:eastAsia="맑은 고딕"/>
          <w:b/>
          <w:i w:val="0"/>
          <w:color w:val="1E407C"/>
          <w:sz w:val="26"/>
        </w:rPr>
        <w:t>5) BNK의 경고가 중요한 이유</w:t>
      </w:r>
    </w:p>
    <w:p>
      <w:pPr>
        <w:spacing w:after="120" w:before="0" w:line="283" w:lineRule="auto"/>
        <w:jc w:val="left"/>
      </w:pPr>
      <w:r>
        <w:rPr>
          <w:rFonts w:ascii="맑은 고딕" w:hAnsi="맑은 고딕" w:eastAsia="맑은 고딕"/>
          <w:b w:val="0"/>
          <w:i w:val="0"/>
          <w:color w:val="1A1A1A"/>
          <w:sz w:val="22"/>
        </w:rPr>
        <w:t>“실적 개선을 부정하는 것이 아니라, 실적 개선이 이미 주가에 상당 부분 반영됐다.”</w:t>
      </w:r>
    </w:p>
    <w:p>
      <w:pPr>
        <w:spacing w:after="120" w:before="0" w:line="283" w:lineRule="auto"/>
      </w:pPr>
      <w:r>
        <w:rPr>
          <w:rFonts w:ascii="맑은 고딕" w:hAnsi="맑은 고딕" w:eastAsia="맑은 고딕"/>
          <w:b/>
          <w:i w:val="0"/>
          <w:color w:val="1A1A1A"/>
          <w:sz w:val="22"/>
        </w:rPr>
        <w:t xml:space="preserve">주류 경로:  </w:t>
      </w:r>
      <w:r>
        <w:rPr>
          <w:rFonts w:ascii="맑은 고딕" w:hAnsi="맑은 고딕" w:eastAsia="맑은 고딕"/>
          <w:b w:val="0"/>
          <w:i w:val="0"/>
          <w:color w:val="1A1A1A"/>
          <w:sz w:val="22"/>
        </w:rPr>
        <w:t>수주 증가  →  실적 증가  →  주가 상승</w:t>
      </w:r>
    </w:p>
    <w:p>
      <w:pPr>
        <w:spacing w:after="120" w:before="0" w:line="283" w:lineRule="auto"/>
      </w:pPr>
      <w:r>
        <w:rPr>
          <w:rFonts w:ascii="맑은 고딕" w:hAnsi="맑은 고딕" w:eastAsia="맑은 고딕"/>
          <w:b/>
          <w:i w:val="0"/>
          <w:color w:val="991B1B"/>
          <w:sz w:val="22"/>
        </w:rPr>
        <w:t xml:space="preserve">BNK 경로:  </w:t>
      </w:r>
      <w:r>
        <w:rPr>
          <w:rFonts w:ascii="맑은 고딕" w:hAnsi="맑은 고딕" w:eastAsia="맑은 고딕"/>
          <w:b w:val="0"/>
          <w:i w:val="0"/>
          <w:color w:val="1A1A1A"/>
          <w:sz w:val="22"/>
        </w:rPr>
        <w:t>수주 증가  →  실적 증가 기대  →  주가 선반영  →  이후 CAPEX 둔화</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장비주의 타이밍</w:t>
            </w:r>
          </w:p>
          <w:p>
            <w:pPr>
              <w:spacing w:after="20" w:before="0" w:line="276" w:lineRule="auto"/>
            </w:pPr>
            <w:r>
              <w:rPr>
                <w:rFonts w:ascii="맑은 고딕" w:hAnsi="맑은 고딕" w:eastAsia="맑은 고딕"/>
                <w:b w:val="0"/>
                <w:i w:val="0"/>
                <w:color w:val="1A1A1A"/>
                <w:sz w:val="21"/>
              </w:rPr>
              <w:t>실적 정점  ≠  주가 정점.  장비주는 실적보다 주가가 먼저 움직일 수 있습니다.</w:t>
            </w:r>
          </w:p>
        </w:tc>
      </w:tr>
    </w:tbl>
    <w:p>
      <w:pPr>
        <w:spacing w:after="120"/>
      </w:pPr>
    </w:p>
    <w:p>
      <w:pPr>
        <w:spacing w:before="200" w:after="80"/>
      </w:pPr>
      <w:r>
        <w:rPr>
          <w:rFonts w:ascii="맑은 고딕" w:hAnsi="맑은 고딕" w:eastAsia="맑은 고딕"/>
          <w:b/>
          <w:i w:val="0"/>
          <w:color w:val="1E407C"/>
          <w:sz w:val="26"/>
        </w:rPr>
        <w:t>6) 앞으로 딱 3개만 확인</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7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확인 항목</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YES이면</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NO이면</w:t>
            </w:r>
          </w:p>
        </w:tc>
      </w:tr>
      <w:tr>
        <w:trPr>
          <w:cantSplit/>
        </w:trPr>
        <w:tc>
          <w:tcPr>
            <w:tcW w:type="dxa" w:w="7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①</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3Q26 영업이익 증가폭 확대?</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주류 전망 우세</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하반기 레벨업 지연</w:t>
            </w:r>
          </w:p>
        </w:tc>
      </w:tr>
      <w:tr>
        <w:trPr>
          <w:cantSplit/>
        </w:trPr>
        <w:tc>
          <w:tcPr>
            <w:tcW w:type="dxa" w:w="7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②</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4Q26 매출 증가 + OPM 개선 동시 발생?</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실적 레벨업 확인</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레버리지 실패</w:t>
            </w:r>
          </w:p>
        </w:tc>
      </w:tr>
      <w:tr>
        <w:trPr>
          <w:cantSplit/>
        </w:trPr>
        <w:tc>
          <w:tcPr>
            <w:tcW w:type="dxa" w:w="7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③</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2027년 신규 수주가 다시 증가?</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성장 지속</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BNK 정점론 현실화</w:t>
            </w:r>
          </w:p>
        </w:tc>
      </w:tr>
    </w:tbl>
    <w:p>
      <w:pPr>
        <w:spacing w:after="160" w:before="40"/>
      </w:pPr>
    </w:p>
    <w:p>
      <w:pPr>
        <w:spacing w:after="120" w:before="0" w:line="283" w:lineRule="auto"/>
        <w:jc w:val="left"/>
      </w:pPr>
      <w:r>
        <w:rPr>
          <w:rFonts w:ascii="맑은 고딕" w:hAnsi="맑은 고딕" w:eastAsia="맑은 고딕"/>
          <w:b w:val="0"/>
          <w:i w:val="0"/>
          <w:color w:val="1A1A1A"/>
          <w:sz w:val="22"/>
        </w:rPr>
        <w:t>3개 모두 YES → 주류 전망 우세.  수주 둔화 + OPM 개선 실패 → BNK 정점론 현실화.</w:t>
      </w:r>
    </w:p>
    <w:p>
      <w:pPr>
        <w:spacing w:before="200" w:after="80"/>
      </w:pPr>
      <w:r>
        <w:rPr>
          <w:rFonts w:ascii="맑은 고딕" w:hAnsi="맑은 고딕" w:eastAsia="맑은 고딕"/>
          <w:b/>
          <w:i w:val="0"/>
          <w:color w:val="1E407C"/>
          <w:sz w:val="26"/>
        </w:rPr>
        <w:t>7) 목표주가 시나리오</w:t>
      </w:r>
    </w:p>
    <w:p>
      <w:pPr>
        <w:spacing w:after="120" w:before="0" w:line="283" w:lineRule="auto"/>
        <w:jc w:val="left"/>
      </w:pPr>
      <w:r>
        <w:rPr>
          <w:rFonts w:ascii="맑은 고딕" w:hAnsi="맑은 고딕" w:eastAsia="맑은 고딕"/>
          <w:b w:val="0"/>
          <w:i w:val="0"/>
          <w:color w:val="1A1A1A"/>
          <w:sz w:val="22"/>
        </w:rPr>
        <w:t>8/8일 리포트 목표주가: 8.8만, 14만, 15.3만, 16.7만, 19만.</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방법</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가정</w:t>
            </w:r>
          </w:p>
        </w:tc>
        <w:tc>
          <w:tcPr>
            <w:tcW w:type="dxa" w:w="328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산출</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증권사 TP 평균 + 안전마진</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평균 14.8만 × 안전마진 20~30%</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10.4만 ~ 11.8만원</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이익 믹스 × PER (BNK 제외)</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26년 50% + 27년 50% 이익 추정 × PER 20~25배</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8.4~10.5 / 9.6~12 / 9.8~12.2 / 11.9~14.9만</w:t>
            </w:r>
          </w:p>
        </w:tc>
      </w:tr>
    </w:tbl>
    <w:p>
      <w:pPr>
        <w:spacing w:after="160" w:before="40"/>
      </w:pPr>
    </w:p>
    <w:p>
      <w:pPr>
        <w:spacing w:after="120" w:before="0" w:line="283" w:lineRule="auto"/>
        <w:jc w:val="left"/>
      </w:pPr>
      <w:r>
        <w:rPr>
          <w:rFonts w:ascii="맑은 고딕" w:hAnsi="맑은 고딕" w:eastAsia="맑은 고딕"/>
          <w:b w:val="0"/>
          <w:i w:val="0"/>
          <w:color w:val="1A1A1A"/>
          <w:sz w:val="22"/>
        </w:rPr>
        <w:t>즉, 안전마진을 두고 보면 10만원 전후가 공통 구간입니다. 상단은 수주가 2027까지 이어진다는 확신이 붙을 때 열립니다.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5.  </w:t>
      </w:r>
      <w:r>
        <w:rPr>
          <w:rFonts w:ascii="맑은 고딕" w:hAnsi="맑은 고딕" w:eastAsia="맑은 고딕"/>
          <w:b/>
          <w:i w:val="0"/>
          <w:color w:val="0F2043"/>
          <w:sz w:val="32"/>
        </w:rPr>
        <w:t>SK 지주사 · SK에코플랜트</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대신: SK할인율 좁혀질 이유가 늘었다. TP 88만원 유지. NAV 81.7조 × 할인율 41%.</w:t>
            </w:r>
          </w:p>
          <w:p>
            <w:pPr>
              <w:spacing w:after="20" w:before="0" w:line="276" w:lineRule="auto"/>
            </w:pPr>
            <w:r>
              <w:rPr>
                <w:rFonts w:ascii="맑은 고딕" w:hAnsi="맑은 고딕" w:eastAsia="맑은 고딕"/>
                <w:b w:val="0"/>
                <w:i w:val="0"/>
                <w:color w:val="1A1A1A"/>
                <w:sz w:val="21"/>
              </w:rPr>
              <w:t>에코플랜트는 반도체 팹 + AI DC + 메모리 유통을 동시에 먹는다. 표의 2.1조는 2Q OP 연환산·수주잔고 대비 상당히 낮다.</w:t>
            </w:r>
          </w:p>
          <w:p>
            <w:pPr>
              <w:spacing w:after="20" w:before="0" w:line="276" w:lineRule="auto"/>
            </w:pPr>
            <w:r>
              <w:rPr>
                <w:rFonts w:ascii="맑은 고딕" w:hAnsi="맑은 고딕" w:eastAsia="맑은 고딕"/>
                <w:b w:val="0"/>
                <w:i w:val="0"/>
                <w:color w:val="1A1A1A"/>
                <w:sz w:val="21"/>
              </w:rPr>
              <w:t>에코플랜트만 재평가해도 TP 96~106만 산출 가능. 기본은 여전히 SK스퀘어(하이닉스)와 SK이노베이션 가치다.</w:t>
            </w:r>
          </w:p>
        </w:tc>
      </w:tr>
    </w:tbl>
    <w:p>
      <w:pPr>
        <w:spacing w:after="120"/>
      </w:pPr>
    </w:p>
    <w:p>
      <w:pPr>
        <w:spacing w:before="200" w:after="80"/>
      </w:pPr>
      <w:r>
        <w:rPr>
          <w:rFonts w:ascii="맑은 고딕" w:hAnsi="맑은 고딕" w:eastAsia="맑은 고딕"/>
          <w:b/>
          <w:i w:val="0"/>
          <w:color w:val="1E407C"/>
          <w:sz w:val="26"/>
        </w:rPr>
        <w:t>1) 대신 — SK할인율 좁혀질 이유가 늘었다, TP 88만원 유지</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748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2Q26</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매출액</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42조 1,247억원</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영업이익</w:t>
            </w:r>
          </w:p>
        </w:tc>
        <w:tc>
          <w:tcPr>
            <w:tcW w:type="dxa" w:w="74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4조 8,412억원  (+2,212.5% YoY)</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코멘트</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포트폴리오 리밸런싱을 마친 자회사 이익 체력 확인</w:t>
            </w:r>
          </w:p>
        </w:tc>
      </w:tr>
    </w:tbl>
    <w:p>
      <w:pPr>
        <w:spacing w:after="160" w:before="40"/>
      </w:pPr>
    </w:p>
    <w:p>
      <w:pPr>
        <w:spacing w:after="120" w:before="0" w:line="283" w:lineRule="auto"/>
        <w:jc w:val="left"/>
      </w:pPr>
      <w:r>
        <w:rPr>
          <w:rFonts w:ascii="맑은 고딕" w:hAnsi="맑은 고딕" w:eastAsia="맑은 고딕"/>
          <w:b w:val="0"/>
          <w:i w:val="0"/>
          <w:color w:val="1A1A1A"/>
          <w:sz w:val="22"/>
        </w:rPr>
        <w:t>SK에코플랜트가 분기 최대 매출을 달성하며 AI DC 관련 실적 반영이 본격화됐습니다.</w:t>
      </w:r>
    </w:p>
    <w:p>
      <w:pPr>
        <w:spacing w:before="160" w:after="60"/>
      </w:pPr>
      <w:r>
        <w:rPr>
          <w:rFonts w:ascii="맑은 고딕" w:hAnsi="맑은 고딕" w:eastAsia="맑은 고딕"/>
          <w:b/>
          <w:i w:val="0"/>
          <w:color w:val="0F2043"/>
          <w:sz w:val="23"/>
        </w:rPr>
        <w:t>SOTP (대신)</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5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구성</w:t>
            </w:r>
          </w:p>
        </w:tc>
        <w:tc>
          <w:tcPr>
            <w:tcW w:type="dxa" w:w="544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금액</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자체사업 및 로열티 영업가치</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13.0조원</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상장자회사 지분가치</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73.4조원</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비상장 자회사 지분가치</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3.8조원</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별도 순차입금 (차감)</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 8.5조원</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NAV</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81.7조원</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Target 할인율</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41%</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함의 (81.6조 × 59%)</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48.2조원  →  TP 88만 유지</w:t>
            </w:r>
          </w:p>
        </w:tc>
      </w:tr>
    </w:tbl>
    <w:p>
      <w:pPr>
        <w:spacing w:after="160" w:before="40"/>
      </w:pPr>
    </w:p>
    <w:p>
      <w:pPr>
        <w:spacing w:before="200" w:after="80"/>
      </w:pPr>
      <w:r>
        <w:rPr>
          <w:rFonts w:ascii="맑은 고딕" w:hAnsi="맑은 고딕" w:eastAsia="맑은 고딕"/>
          <w:b/>
          <w:i w:val="0"/>
          <w:color w:val="1E407C"/>
          <w:sz w:val="26"/>
        </w:rPr>
        <w:t>2) SK에코플랜트 — 무엇이 다른 회사인가</w:t>
      </w:r>
    </w:p>
    <w:p>
      <w:pPr>
        <w:spacing w:after="120" w:before="0" w:line="283" w:lineRule="auto"/>
        <w:jc w:val="left"/>
      </w:pPr>
      <w:r>
        <w:rPr>
          <w:rFonts w:ascii="맑은 고딕" w:hAnsi="맑은 고딕" w:eastAsia="맑은 고딕"/>
          <w:b w:val="0"/>
          <w:i w:val="0"/>
          <w:color w:val="1A1A1A"/>
          <w:sz w:val="22"/>
        </w:rPr>
        <w:t>반도체·AI 인프라의 종합 솔루션 회사입니다. 반도체 공장 건설 + AI 데이터센터 + 반도체 소재/가스 + 메모리 유통/재활용.</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한 줄 정의</w:t>
            </w:r>
          </w:p>
          <w:p>
            <w:pPr>
              <w:spacing w:after="20" w:before="0" w:line="276" w:lineRule="auto"/>
            </w:pPr>
            <w:r>
              <w:rPr>
                <w:rFonts w:ascii="맑은 고딕" w:hAnsi="맑은 고딕" w:eastAsia="맑은 고딕"/>
                <w:b w:val="0"/>
                <w:i w:val="0"/>
                <w:color w:val="1A1A1A"/>
                <w:sz w:val="21"/>
              </w:rPr>
              <w:t>SK하이닉스의 반도체 투자와 AI 데이터센터 투자를 동시에 먹는 회사</w:t>
            </w:r>
          </w:p>
        </w:tc>
      </w:tr>
    </w:tbl>
    <w:p>
      <w:pPr>
        <w:spacing w:after="120"/>
      </w:pPr>
    </w:p>
    <w:p>
      <w:pPr>
        <w:spacing w:before="160" w:after="60"/>
      </w:pPr>
      <w:r>
        <w:rPr>
          <w:rFonts w:ascii="맑은 고딕" w:hAnsi="맑은 고딕" w:eastAsia="맑은 고딕"/>
          <w:b/>
          <w:i w:val="0"/>
          <w:color w:val="0F2043"/>
          <w:sz w:val="23"/>
        </w:rPr>
        <w:t>4대 사업 구조 (26년 상반기 매출 비중)</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사업</w:t>
            </w:r>
          </w:p>
        </w:tc>
        <w:tc>
          <w:tcPr>
            <w:tcW w:type="dxa" w:w="544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비중</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Asset Lifecycle</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모듈 유통 · IT자산 재활용</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45%</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Hi-Tech</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반도체 Fab · AI 데이터센터 건설</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33%</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Solution</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기존 건설 · 인프라</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18%</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Gas &amp; Material</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반도체용 가스 · 소재</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w:t>
            </w:r>
          </w:p>
        </w:tc>
      </w:tr>
    </w:tbl>
    <w:p>
      <w:pPr>
        <w:spacing w:after="160" w:before="40"/>
      </w:pPr>
    </w:p>
    <w:p>
      <w:pPr>
        <w:spacing w:after="120" w:before="0" w:line="283" w:lineRule="auto"/>
        <w:jc w:val="left"/>
      </w:pPr>
      <w:r>
        <w:rPr>
          <w:rFonts w:ascii="맑은 고딕" w:hAnsi="맑은 고딕" w:eastAsia="맑은 고딕"/>
          <w:b w:val="0"/>
          <w:i w:val="0"/>
          <w:color w:val="1A1A1A"/>
          <w:sz w:val="22"/>
        </w:rPr>
        <w:t>반도체 관련 매출 ≈ 80%+.</w:t>
      </w:r>
    </w:p>
    <w:p>
      <w:pPr>
        <w:spacing w:before="200" w:after="80"/>
      </w:pPr>
      <w:r>
        <w:rPr>
          <w:rFonts w:ascii="맑은 고딕" w:hAnsi="맑은 고딕" w:eastAsia="맑은 고딕"/>
          <w:b/>
          <w:i w:val="0"/>
          <w:color w:val="1E407C"/>
          <w:sz w:val="26"/>
        </w:rPr>
        <w:t>3) 2Q26 실적 — 왜 급증했나</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26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28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2Q26</w:t>
            </w:r>
          </w:p>
        </w:tc>
        <w:tc>
          <w:tcPr>
            <w:tcW w:type="dxa" w:w="487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변화</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매출</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5.15조원</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+68.4% YoY / 분기 최대</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영업이익</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5,340억원</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+265.7% YoY</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EBITDA Margin</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11.8%</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+5.1%p YoY</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수주잔고</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26.8조원</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향후 매출 가시성</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2Q 신규 수주</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7.8조원</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Hi-Tech 대형 프로젝트 확대</w:t>
            </w:r>
          </w:p>
        </w:tc>
      </w:tr>
    </w:tbl>
    <w:p>
      <w:pPr>
        <w:spacing w:after="160" w:before="40"/>
      </w:pPr>
    </w:p>
    <w:p>
      <w:pPr>
        <w:spacing w:before="160" w:after="60"/>
      </w:pPr>
      <w:r>
        <w:rPr>
          <w:rFonts w:ascii="맑은 고딕" w:hAnsi="맑은 고딕" w:eastAsia="맑은 고딕"/>
          <w:b/>
          <w:i w:val="0"/>
          <w:color w:val="0F2043"/>
          <w:sz w:val="23"/>
        </w:rPr>
        <w:t>실적 상승의 3가지 엔진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반도체 CAPEX ↑  —  용인 반도체 클러스터 + 청주 M15X → Hi-Tech EPC 매출 증가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AI CAPEX ↑  —  울산 AI 데이터센터 등 → AI DC 공정 본격화</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DRAM·NAND 가격 ↑  —  Essencore 메모리 유통 매출 증가</w:t>
      </w:r>
    </w:p>
    <w:p>
      <w:pPr>
        <w:spacing w:before="200" w:after="80"/>
      </w:pPr>
      <w:r>
        <w:rPr>
          <w:rFonts w:ascii="맑은 고딕" w:hAnsi="맑은 고딕" w:eastAsia="맑은 고딕"/>
          <w:b/>
          <w:i w:val="0"/>
          <w:color w:val="1E407C"/>
          <w:sz w:val="26"/>
        </w:rPr>
        <w:t>4) 표의 2.1조는 너무 낮다</w:t>
      </w:r>
    </w:p>
    <w:p>
      <w:pPr>
        <w:spacing w:after="120" w:before="0" w:line="283" w:lineRule="auto"/>
        <w:jc w:val="left"/>
      </w:pPr>
      <w:r>
        <w:rPr>
          <w:rFonts w:ascii="맑은 고딕" w:hAnsi="맑은 고딕" w:eastAsia="맑은 고딕"/>
          <w:b w:val="0"/>
          <w:i w:val="0"/>
          <w:color w:val="1A1A1A"/>
          <w:sz w:val="22"/>
        </w:rPr>
        <w:t>현재 밸류에이션 표: 지분율 71.2%, 장부가 1.271조원, Value 2.106조원.</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숫자 체크</w:t>
            </w:r>
          </w:p>
          <w:p>
            <w:pPr>
              <w:spacing w:after="20" w:before="0" w:line="276" w:lineRule="auto"/>
            </w:pPr>
            <w:r>
              <w:rPr>
                <w:rFonts w:ascii="맑은 고딕" w:hAnsi="맑은 고딕" w:eastAsia="맑은 고딕"/>
                <w:b w:val="0"/>
                <w:i w:val="0"/>
                <w:color w:val="1A1A1A"/>
                <w:sz w:val="21"/>
              </w:rPr>
              <w:t>1.271조 × 71.2% = 0.905조 → 표의 2.106조와 맞지 않습니다.</w:t>
            </w:r>
          </w:p>
          <w:p>
            <w:pPr>
              <w:spacing w:after="20" w:before="0" w:line="276" w:lineRule="auto"/>
            </w:pPr>
            <w:r>
              <w:rPr>
                <w:rFonts w:ascii="맑은 고딕" w:hAnsi="맑은 고딕" w:eastAsia="맑은 고딕"/>
                <w:b w:val="0"/>
                <w:i w:val="0"/>
                <w:color w:val="1A1A1A"/>
                <w:sz w:val="21"/>
              </w:rPr>
              <w:t>해석: 2.106조를 SK 지분가치(이미 지분율 반영)로 보는 편이 자연스럽습니다. 장부가 1.271조는 별도 장부가일 가능성.</w:t>
            </w:r>
          </w:p>
          <w:p>
            <w:pPr>
              <w:spacing w:after="20" w:before="0" w:line="276" w:lineRule="auto"/>
            </w:pPr>
            <w:r>
              <w:rPr>
                <w:rFonts w:ascii="맑은 고딕" w:hAnsi="맑은 고딕" w:eastAsia="맑은 고딕"/>
                <w:b w:val="0"/>
                <w:i w:val="0"/>
                <w:color w:val="1A1A1A"/>
                <w:sz w:val="21"/>
              </w:rPr>
              <w:t>어느 쪽이든 2Q 영업이익 5,340억 × 4 = 연환산 2.14조, 수주잔고 26.8조입니다.</w:t>
            </w:r>
          </w:p>
          <w:p>
            <w:pPr>
              <w:spacing w:after="20" w:before="0" w:line="276" w:lineRule="auto"/>
            </w:pPr>
            <w:r>
              <w:rPr>
                <w:rFonts w:ascii="맑은 고딕" w:hAnsi="맑은 고딕" w:eastAsia="맑은 고딕"/>
                <w:b w:val="0"/>
                <w:i w:val="0"/>
                <w:color w:val="1A1A1A"/>
                <w:sz w:val="21"/>
              </w:rPr>
              <w:t>과거의 건설회사와 달리 반도체 EPC + AI DC + 메모리 유통으로 이익 체력이 구조적으로 올라왔다면, 2.1조의 기업가치를 부여하는 것은 상당히 낮습니다.</w:t>
            </w:r>
          </w:p>
        </w:tc>
      </w:tr>
    </w:tbl>
    <w:p>
      <w:pPr>
        <w:spacing w:after="120"/>
      </w:pPr>
    </w:p>
    <w:p>
      <w:pPr>
        <w:spacing w:before="160" w:after="60"/>
      </w:pPr>
      <w:r>
        <w:rPr>
          <w:rFonts w:ascii="맑은 고딕" w:hAnsi="맑은 고딕" w:eastAsia="맑은 고딕"/>
          <w:b/>
          <w:i w:val="0"/>
          <w:color w:val="0F2043"/>
          <w:sz w:val="23"/>
        </w:rPr>
        <w:t>시나리오 A — 보수</w:t>
      </w:r>
    </w:p>
    <w:p>
      <w:pPr>
        <w:spacing w:before="80" w:after="160" w:line="288" w:lineRule="auto"/>
        <w:jc w:val="center"/>
      </w:pPr>
      <w:r>
        <w:rPr>
          <w:rFonts w:ascii="맑은 고딕" w:hAnsi="맑은 고딕" w:eastAsia="맑은 고딕"/>
          <w:b/>
          <w:i w:val="0"/>
          <w:color w:val="0F2043"/>
          <w:sz w:val="22"/>
        </w:rPr>
        <w:t>영업이익 1.6~2조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이자·세금·비영업·일회성</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순이익 1.0조 가정</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PER 10배 → 10조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SK 71.2% → 7.1조</w:t>
      </w:r>
    </w:p>
    <w:p>
      <w:pPr>
        <w:spacing w:after="120" w:before="0" w:line="283" w:lineRule="auto"/>
        <w:jc w:val="left"/>
      </w:pPr>
      <w:r>
        <w:rPr>
          <w:rFonts w:ascii="맑은 고딕" w:hAnsi="맑은 고딕" w:eastAsia="맑은 고딕"/>
          <w:b w:val="0"/>
          <w:i w:val="0"/>
          <w:color w:val="1A1A1A"/>
          <w:sz w:val="22"/>
        </w:rPr>
        <w:t>현재 표 2.1조와 비교하면 약 5조원 차이.</w:t>
      </w:r>
    </w:p>
    <w:p>
      <w:pPr>
        <w:spacing w:before="160" w:after="60"/>
      </w:pPr>
      <w:r>
        <w:rPr>
          <w:rFonts w:ascii="맑은 고딕" w:hAnsi="맑은 고딕" w:eastAsia="맑은 고딕"/>
          <w:b/>
          <w:i w:val="0"/>
          <w:color w:val="0F2043"/>
          <w:sz w:val="23"/>
        </w:rPr>
        <w:t>시나리오 B — 성장·수주 감안</w:t>
      </w:r>
    </w:p>
    <w:p>
      <w:pPr>
        <w:spacing w:before="80" w:after="160" w:line="288" w:lineRule="auto"/>
        <w:jc w:val="center"/>
      </w:pPr>
      <w:r>
        <w:rPr>
          <w:rFonts w:ascii="맑은 고딕" w:hAnsi="맑은 고딕" w:eastAsia="맑은 고딕"/>
          <w:b/>
          <w:i w:val="0"/>
          <w:color w:val="0F2043"/>
          <w:sz w:val="22"/>
        </w:rPr>
        <w:t>순이익 1.5조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PER 10배 → 15조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SK 71.2% → 10.7조</w:t>
      </w:r>
    </w:p>
    <w:p>
      <w:pPr>
        <w:spacing w:after="120" w:before="0" w:line="283" w:lineRule="auto"/>
        <w:jc w:val="left"/>
      </w:pPr>
      <w:r>
        <w:rPr>
          <w:rFonts w:ascii="맑은 고딕" w:hAnsi="맑은 고딕" w:eastAsia="맑은 고딕"/>
          <w:b w:val="0"/>
          <w:i w:val="0"/>
          <w:color w:val="1A1A1A"/>
          <w:sz w:val="22"/>
        </w:rPr>
        <w:t>현재 표 2.1조와 비교하면 약 8.6조원 차이. (이노베이션의 가치기여와 비슷한 규모로 볼 수 있음)</w:t>
      </w:r>
    </w:p>
    <w:p>
      <w:pPr>
        <w:spacing w:before="200" w:after="80"/>
      </w:pPr>
      <w:r>
        <w:rPr>
          <w:rFonts w:ascii="맑은 고딕" w:hAnsi="맑은 고딕" w:eastAsia="맑은 고딕"/>
          <w:b/>
          <w:i w:val="0"/>
          <w:color w:val="1E407C"/>
          <w:sz w:val="26"/>
        </w:rPr>
        <w:t>5) 할인율만 안 바꿔도 TP가 올라간다</w:t>
      </w:r>
    </w:p>
    <w:p>
      <w:pPr>
        <w:spacing w:after="120" w:before="0" w:line="283" w:lineRule="auto"/>
        <w:jc w:val="left"/>
      </w:pPr>
      <w:r>
        <w:rPr>
          <w:rFonts w:ascii="맑은 고딕" w:hAnsi="맑은 고딕" w:eastAsia="맑은 고딕"/>
          <w:b w:val="0"/>
          <w:i w:val="0"/>
          <w:color w:val="1A1A1A"/>
          <w:sz w:val="22"/>
        </w:rPr>
        <w:t>현재 대신 목표가 산식: 81.6조 × 59% = 48.2조.</w:t>
      </w:r>
    </w:p>
    <w:p>
      <w:pPr>
        <w:spacing w:after="120" w:before="0" w:line="283" w:lineRule="auto"/>
        <w:jc w:val="left"/>
      </w:pPr>
      <w:r>
        <w:rPr>
          <w:rFonts w:ascii="맑은 고딕" w:hAnsi="맑은 고딕" w:eastAsia="맑은 고딕"/>
          <w:b w:val="0"/>
          <w:i w:val="0"/>
          <w:color w:val="1A1A1A"/>
          <w:sz w:val="22"/>
        </w:rPr>
        <w:t>SK에코플랜트 재평가로 NAV가 (시나리오 A/B 평균 차이 약 8조를 더해) 89.5조가 되면:</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가정</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산식</w:t>
            </w:r>
          </w:p>
        </w:tc>
        <w:tc>
          <w:tcPr>
            <w:tcW w:type="dxa" w:w="215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결과</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vs 현재</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할인율 41% 유지</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89.5조 × 59%</w:t>
            </w:r>
          </w:p>
        </w:tc>
        <w:tc>
          <w:tcPr>
            <w:tcW w:type="dxa" w:w="215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52.8조</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현재 TP 대비 ~10%</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할인율 41% → 35%</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89.5조 × 65%</w:t>
            </w:r>
          </w:p>
        </w:tc>
        <w:tc>
          <w:tcPr>
            <w:tcW w:type="dxa" w:w="215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58.2조</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현재 TP 대비 ~21%</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함의</w:t>
            </w:r>
          </w:p>
          <w:p>
            <w:pPr>
              <w:spacing w:after="20" w:before="0" w:line="276" w:lineRule="auto"/>
            </w:pPr>
            <w:r>
              <w:rPr>
                <w:rFonts w:ascii="맑은 고딕" w:hAnsi="맑은 고딕" w:eastAsia="맑은 고딕"/>
                <w:b w:val="0"/>
                <w:i w:val="0"/>
                <w:color w:val="1A1A1A"/>
                <w:sz w:val="21"/>
              </w:rPr>
              <w:t>따라서 TP는 96~106만원도 산출 가능합니다.</w:t>
            </w:r>
          </w:p>
          <w:p>
            <w:pPr>
              <w:spacing w:after="20" w:before="0" w:line="276" w:lineRule="auto"/>
            </w:pPr>
            <w:r>
              <w:rPr>
                <w:rFonts w:ascii="맑은 고딕" w:hAnsi="맑은 고딕" w:eastAsia="맑은 고딕"/>
                <w:b w:val="0"/>
                <w:i w:val="0"/>
                <w:color w:val="1A1A1A"/>
                <w:sz w:val="21"/>
              </w:rPr>
              <w:t>현재 증권사 목표주가 최고치는 100만원 (6/24 흥국) 이후 97만 1개, 88만 1개, 85만 2개, 73.8만 1개.</w:t>
            </w:r>
          </w:p>
          <w:p>
            <w:pPr>
              <w:spacing w:after="20" w:before="0" w:line="276" w:lineRule="auto"/>
            </w:pPr>
            <w:r>
              <w:rPr>
                <w:rFonts w:ascii="맑은 고딕" w:hAnsi="맑은 고딕" w:eastAsia="맑은 고딕"/>
                <w:b w:val="0"/>
                <w:i w:val="0"/>
                <w:color w:val="1A1A1A"/>
                <w:sz w:val="21"/>
              </w:rPr>
              <w:t>안전마진을 충분히 고려해도 긍정적 시각이 가능합니다. 단, 기본은 SK스퀘어(즉 SK하이닉스), SK이노베이션 가치입니다.</w:t>
            </w:r>
          </w:p>
        </w:tc>
      </w:tr>
    </w:tbl>
    <w:p>
      <w:pPr>
        <w:spacing w:after="120"/>
      </w:pPr>
    </w:p>
    <w:p>
      <w:pPr>
        <w:spacing w:before="200" w:after="80"/>
      </w:pPr>
      <w:r>
        <w:rPr>
          <w:rFonts w:ascii="맑은 고딕" w:hAnsi="맑은 고딕" w:eastAsia="맑은 고딕"/>
          <w:b/>
          <w:i w:val="0"/>
          <w:color w:val="1E407C"/>
          <w:sz w:val="26"/>
        </w:rPr>
        <w:t>6) SK실트론 매각 — NAV +0.5조, 옵션은 남긴다</w:t>
      </w:r>
    </w:p>
    <w:p>
      <w:pPr>
        <w:spacing w:after="120" w:before="0" w:line="283" w:lineRule="auto"/>
        <w:jc w:val="left"/>
      </w:pPr>
      <w:r>
        <w:rPr>
          <w:rFonts w:ascii="맑은 고딕" w:hAnsi="맑은 고딕" w:eastAsia="맑은 고딕"/>
          <w:b w:val="0"/>
          <w:i w:val="0"/>
          <w:color w:val="1A1A1A"/>
          <w:sz w:val="22"/>
        </w:rPr>
        <w:t>SK실트론 지분 70.6%를 두산에 2.3조원 매각 공시. 목적은 재무구조 개선 및 투자재원 확보, 초과이익공유 예정. 순자산가치 증가 요인이자 주주환원 재원 확보.</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SK실트론 가치를 EV/EBITDA 8배로 적용해 지분가치를 1.8조원으로 가정</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하지만 2.3조원에 매각 → SK의 NAV는 0.5조원 증가</w:t>
      </w:r>
    </w:p>
    <w:p>
      <w:pPr>
        <w:spacing w:after="120" w:before="0" w:line="283" w:lineRule="auto"/>
        <w:jc w:val="left"/>
      </w:pPr>
      <w:r>
        <w:rPr>
          <w:rFonts w:ascii="맑은 고딕" w:hAnsi="맑은 고딕" w:eastAsia="맑은 고딕"/>
          <w:b w:val="0"/>
          <w:i w:val="0"/>
          <w:color w:val="1A1A1A"/>
          <w:sz w:val="22"/>
        </w:rPr>
        <w:t>재무구조를 개선하면서 미래 성장가치 옵션을 확보하는 거래로 읽으면 됩니다.</w:t>
      </w:r>
    </w:p>
    <w:p>
      <w:pPr>
        <w:spacing w:before="200" w:after="80"/>
      </w:pPr>
      <w:r>
        <w:rPr>
          <w:rFonts w:ascii="맑은 고딕" w:hAnsi="맑은 고딕" w:eastAsia="맑은 고딕"/>
          <w:b/>
          <w:i w:val="0"/>
          <w:color w:val="1E407C"/>
          <w:sz w:val="26"/>
        </w:rPr>
        <w:t>7) 확인 포인트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에코플랜트 Hi-Tech 수주잔고 26.8조가 실제로 매출·마진으로 이어지는가.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표의 2.1조가 리포트에서 상향 재평가되는가. (이게 할인율 축소의 재료)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실트론 매각 대금의 사용처 — 차입 축소 vs 성장 투자 vs 주주환원.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그래도 NAV의 중심은 SK스퀘어(하이닉스)와 이노베이션. 에코플랜트는 ‘할인율 좁힐 이유’다.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6.  </w:t>
      </w:r>
      <w:r>
        <w:rPr>
          <w:rFonts w:ascii="맑은 고딕" w:hAnsi="맑은 고딕" w:eastAsia="맑은 고딕"/>
          <w:b/>
          <w:i w:val="0"/>
          <w:color w:val="0F2043"/>
          <w:sz w:val="32"/>
        </w:rPr>
        <w:t>Atlas / Physical AI</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Atlas의 투자 포인트가 ‘로봇을 얼마나 잘 만드느냐’에서 ‘얼마나 많이, 오래, 실제 공장에서 일하게 하느냐’로 이동했다.</w:t>
            </w:r>
          </w:p>
          <w:p>
            <w:pPr>
              <w:spacing w:after="20" w:before="0" w:line="276" w:lineRule="auto"/>
            </w:pPr>
            <w:r>
              <w:rPr>
                <w:rFonts w:ascii="맑은 고딕" w:hAnsi="맑은 고딕" w:eastAsia="맑은 고딕"/>
                <w:b w:val="0"/>
                <w:i w:val="0"/>
                <w:color w:val="1A1A1A"/>
                <w:sz w:val="21"/>
              </w:rPr>
              <w:t>HMGMA·현대글로비스의 실제 배치가 상용화의 가장 중요한 검증 이벤트다. 현대모비스는 로봇 부품 양산 수혜의 핵심 후보.</w:t>
            </w:r>
          </w:p>
        </w:tc>
      </w:tr>
    </w:tbl>
    <w:p>
      <w:pPr>
        <w:spacing w:after="120"/>
      </w:pPr>
    </w:p>
    <w:p>
      <w:pPr>
        <w:spacing w:before="200" w:after="80"/>
      </w:pPr>
      <w:r>
        <w:rPr>
          <w:rFonts w:ascii="맑은 고딕" w:hAnsi="맑은 고딕" w:eastAsia="맑은 고딕"/>
          <w:b/>
          <w:i w:val="0"/>
          <w:color w:val="1E407C"/>
          <w:sz w:val="26"/>
        </w:rPr>
        <w:t>1) 연구용 로봇 → 공장 투입</w:t>
      </w:r>
    </w:p>
    <w:p>
      <w:pPr>
        <w:spacing w:after="120" w:before="0" w:line="283" w:lineRule="auto"/>
        <w:jc w:val="left"/>
      </w:pPr>
      <w:r>
        <w:rPr>
          <w:rFonts w:ascii="맑은 고딕" w:hAnsi="맑은 고딕" w:eastAsia="맑은 고딕"/>
          <w:b w:val="0"/>
          <w:i w:val="0"/>
          <w:color w:val="1A1A1A"/>
          <w:sz w:val="22"/>
        </w:rPr>
        <w:t>상용화 경로가 구체화되고 있습니다.</w:t>
      </w:r>
    </w:p>
    <w:p>
      <w:pPr>
        <w:spacing w:before="80" w:after="160" w:line="288" w:lineRule="auto"/>
        <w:jc w:val="center"/>
      </w:pPr>
      <w:r>
        <w:rPr>
          <w:rFonts w:ascii="맑은 고딕" w:hAnsi="맑은 고딕" w:eastAsia="맑은 고딕"/>
          <w:b/>
          <w:i w:val="0"/>
          <w:color w:val="0F2043"/>
          <w:sz w:val="22"/>
        </w:rPr>
        <w:t>RMAC 학습</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성능검증</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HMGMA·글로비스 파일럿</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실제 생산 투입</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2028년 HMGMA 투입</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2030년 부품 조립공정 확대 목표</w:t>
      </w:r>
    </w:p>
    <w:p>
      <w:pPr>
        <w:spacing w:before="200" w:after="80"/>
      </w:pPr>
      <w:r>
        <w:rPr>
          <w:rFonts w:ascii="맑은 고딕" w:hAnsi="맑은 고딕" w:eastAsia="맑은 고딕"/>
          <w:b/>
          <w:i w:val="0"/>
          <w:color w:val="1E407C"/>
          <w:sz w:val="26"/>
        </w:rPr>
        <w:t>2) 핵심 경쟁력 = Fleet × 가동률 × 데이터</w:t>
      </w:r>
    </w:p>
    <w:p>
      <w:pPr>
        <w:spacing w:after="120" w:before="0" w:line="283" w:lineRule="auto"/>
        <w:jc w:val="left"/>
      </w:pPr>
      <w:r>
        <w:rPr>
          <w:rFonts w:ascii="맑은 고딕" w:hAnsi="맑은 고딕" w:eastAsia="맑은 고딕"/>
          <w:b w:val="0"/>
          <w:i w:val="0"/>
          <w:color w:val="1A1A1A"/>
          <w:sz w:val="22"/>
        </w:rPr>
        <w:t>로봇 성능보다, 수천 번 안정적으로 반복 작업하는 것이 제조용 로봇의 핵심입니다.</w:t>
      </w:r>
    </w:p>
    <w:p>
      <w:pPr>
        <w:spacing w:after="120" w:before="0" w:line="283" w:lineRule="auto"/>
        <w:jc w:val="left"/>
      </w:pPr>
      <w:r>
        <w:rPr>
          <w:rFonts w:ascii="맑은 고딕" w:hAnsi="맑은 고딕" w:eastAsia="맑은 고딕"/>
          <w:b w:val="0"/>
          <w:i w:val="0"/>
          <w:color w:val="1A1A1A"/>
          <w:sz w:val="22"/>
        </w:rPr>
        <w:t>향후 평가지표: 로봇 성능 → 실제 배치 대수 · 가동시간 · 활용률</w:t>
      </w:r>
    </w:p>
    <w:p>
      <w:pPr>
        <w:spacing w:before="80" w:after="160" w:line="288" w:lineRule="auto"/>
        <w:jc w:val="center"/>
      </w:pPr>
      <w:r>
        <w:rPr>
          <w:rFonts w:ascii="맑은 고딕" w:hAnsi="맑은 고딕" w:eastAsia="맑은 고딕"/>
          <w:b/>
          <w:i w:val="0"/>
          <w:color w:val="0F2043"/>
          <w:sz w:val="22"/>
        </w:rPr>
        <w:t>신뢰성 ↑</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가동률 ↑</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데이터 ↑</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AI 성능 ↑</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추가 배치 ↑</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Physical AI Data Flywheel</w:t>
            </w:r>
          </w:p>
          <w:p>
            <w:pPr>
              <w:spacing w:after="20" w:before="0" w:line="276" w:lineRule="auto"/>
            </w:pPr>
            <w:r>
              <w:rPr>
                <w:rFonts w:ascii="맑은 고딕" w:hAnsi="맑은 고딕" w:eastAsia="맑은 고딕"/>
                <w:b w:val="0"/>
                <w:i w:val="0"/>
                <w:color w:val="1A1A1A"/>
                <w:sz w:val="21"/>
              </w:rPr>
              <w:t>학습 → 배치 → 데이터 축적 → 재학습을 빠르게 반복할 수 있는 쪽이 이깁니다.</w:t>
            </w:r>
          </w:p>
        </w:tc>
      </w:tr>
    </w:tbl>
    <w:p>
      <w:pPr>
        <w:spacing w:after="120"/>
      </w:pPr>
    </w:p>
    <w:p>
      <w:pPr>
        <w:spacing w:before="200" w:after="80"/>
      </w:pPr>
      <w:r>
        <w:rPr>
          <w:rFonts w:ascii="맑은 고딕" w:hAnsi="맑은 고딕" w:eastAsia="맑은 고딕"/>
          <w:b/>
          <w:i w:val="0"/>
          <w:color w:val="1E407C"/>
          <w:sz w:val="26"/>
        </w:rPr>
        <w:t>3) 현대차그룹 Captive 환경 = 오히려 강력한 경쟁우위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HMGMA = 제조 데이터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현대글로비스 = 물류 데이터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한국 · 미국 · 중국 로봇훈련 거점 + 글로벌 생산거점</w:t>
      </w:r>
    </w:p>
    <w:p>
      <w:pPr>
        <w:spacing w:after="120" w:before="0" w:line="283" w:lineRule="auto"/>
        <w:jc w:val="left"/>
      </w:pPr>
      <w:r>
        <w:rPr>
          <w:rFonts w:ascii="맑은 고딕" w:hAnsi="맑은 고딕" w:eastAsia="맑은 고딕"/>
          <w:b w:val="0"/>
          <w:i w:val="0"/>
          <w:color w:val="1A1A1A"/>
          <w:sz w:val="22"/>
        </w:rPr>
        <w:t>학습 → 배치 → 데이터 축적 → 재학습을 빠르게 반복할 수 있습니다.</w:t>
      </w:r>
    </w:p>
    <w:p>
      <w:pPr>
        <w:spacing w:before="200" w:after="80"/>
      </w:pPr>
      <w:r>
        <w:rPr>
          <w:rFonts w:ascii="맑은 고딕" w:hAnsi="맑은 고딕" w:eastAsia="맑은 고딕"/>
          <w:b/>
          <w:i w:val="0"/>
          <w:color w:val="1E407C"/>
          <w:sz w:val="26"/>
        </w:rPr>
        <w:t>4) 수혜주 관점</w:t>
      </w:r>
    </w:p>
    <w:p>
      <w:pPr>
        <w:spacing w:before="160" w:after="60"/>
      </w:pPr>
      <w:r>
        <w:rPr>
          <w:rFonts w:ascii="맑은 고딕" w:hAnsi="맑은 고딕" w:eastAsia="맑은 고딕"/>
          <w:b/>
          <w:i w:val="0"/>
          <w:color w:val="0F2043"/>
          <w:sz w:val="23"/>
        </w:rPr>
        <w:t>① 현대모비스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Atlas 1대당 바디 액추에이터 31개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11월 시제품 납품 예정</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Atlas 양산 확대 → 액추에이터 물량 증가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로봇 부품 사업의 사업화 가시성 상승</w:t>
      </w:r>
    </w:p>
    <w:p>
      <w:pPr>
        <w:spacing w:before="160" w:after="60"/>
      </w:pPr>
      <w:r>
        <w:rPr>
          <w:rFonts w:ascii="맑은 고딕" w:hAnsi="맑은 고딕" w:eastAsia="맑은 고딕"/>
          <w:b/>
          <w:i w:val="0"/>
          <w:color w:val="0F2043"/>
          <w:sz w:val="23"/>
        </w:rPr>
        <w:t>② 현대글로비스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부품 서열(Sequencing)은 반복성·구조화가 높아 초기 상용화에 적합</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실제 파일럿/배치 확인 시 → 현대차=제조 + 현대글로비스=물류의 Physical AI 초기 생태계 구축</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최종 결론</w:t>
            </w:r>
          </w:p>
          <w:p>
            <w:pPr>
              <w:spacing w:after="20" w:before="0" w:line="276" w:lineRule="auto"/>
            </w:pPr>
            <w:r>
              <w:rPr>
                <w:rFonts w:ascii="맑은 고딕" w:hAnsi="맑은 고딕" w:eastAsia="맑은 고딕"/>
                <w:b w:val="0"/>
                <w:i w:val="0"/>
                <w:color w:val="1A1A1A"/>
                <w:sz w:val="21"/>
              </w:rPr>
              <w:t>HMGMA·현대글로비스의 실제 배치 = Atlas 상용화의 가장 중요한 검증 이벤트.</w:t>
            </w:r>
          </w:p>
          <w:p>
            <w:pPr>
              <w:spacing w:after="20" w:before="0" w:line="276" w:lineRule="auto"/>
            </w:pPr>
            <w:r>
              <w:rPr>
                <w:rFonts w:ascii="맑은 고딕" w:hAnsi="맑은 고딕" w:eastAsia="맑은 고딕"/>
                <w:b w:val="0"/>
                <w:i w:val="0"/>
                <w:color w:val="1A1A1A"/>
                <w:sz w:val="21"/>
              </w:rPr>
              <w:t>현대모비스는 로봇 부품 양산 수혜의 핵심 후보.</w:t>
            </w:r>
          </w:p>
        </w:tc>
      </w:tr>
    </w:tbl>
    <w:p>
      <w:pPr>
        <w:spacing w:after="120"/>
      </w:pPr>
    </w:p>
    <w:p>
      <w:pPr>
        <w:spacing w:before="200" w:after="80"/>
      </w:pPr>
      <w:r>
        <w:rPr>
          <w:rFonts w:ascii="맑은 고딕" w:hAnsi="맑은 고딕" w:eastAsia="맑은 고딕"/>
          <w:b/>
          <w:i w:val="0"/>
          <w:color w:val="1E407C"/>
          <w:sz w:val="26"/>
        </w:rPr>
        <w:t>5) 확인 포인트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11월 모비스 시제품 납품이 일정대로 나가는가.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HMGMA·글로비스 파일럿의 실제 대수·가동시간.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2028 투입 → 2030 조립공정 확대 로드맵이 숫자로 구체화되는가.</w:t>
      </w:r>
    </w:p>
    <w:p>
      <w:pPr>
        <w:spacing w:before="280" w:after="160" w:line="264" w:lineRule="auto"/>
        <w:pBdr>
          <w:bottom w:val="single" w:sz="12" w:space="4" w:color="0F2043"/>
        </w:pBdr>
      </w:pPr>
      <w:r>
        <w:rPr>
          <w:rFonts w:ascii="맑은 고딕" w:hAnsi="맑은 고딕" w:eastAsia="맑은 고딕"/>
          <w:b/>
          <w:i w:val="0"/>
          <w:color w:val="B8943A"/>
          <w:sz w:val="32"/>
        </w:rPr>
        <w:t xml:space="preserve">7.  </w:t>
      </w:r>
      <w:r>
        <w:rPr>
          <w:rFonts w:ascii="맑은 고딕" w:hAnsi="맑은 고딕" w:eastAsia="맑은 고딕"/>
          <w:b/>
          <w:i w:val="0"/>
          <w:color w:val="0F2043"/>
          <w:sz w:val="32"/>
        </w:rPr>
        <w:t>보론  ·  리노공업 (파업)</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파업 직전까지 실적·수익성은 강한 성장 국면. 2Q OPM 51.3%, 컨센 상회.</w:t>
            </w:r>
          </w:p>
          <w:p>
            <w:pPr>
              <w:spacing w:after="20" w:before="0" w:line="276" w:lineRule="auto"/>
            </w:pPr>
            <w:r>
              <w:rPr>
                <w:rFonts w:ascii="맑은 고딕" w:hAnsi="맑은 고딕" w:eastAsia="맑은 고딕"/>
                <w:b w:val="0"/>
                <w:i w:val="0"/>
                <w:color w:val="1A1A1A"/>
                <w:sz w:val="21"/>
              </w:rPr>
              <w:t>창사 이래 첫 무기한 총파업(7/23~8/17 약 4주)이 최대 변수. 핵심은 매출 감소보다 마진 훼손.</w:t>
            </w:r>
          </w:p>
          <w:p>
            <w:pPr>
              <w:spacing w:after="20" w:before="0" w:line="276" w:lineRule="auto"/>
            </w:pPr>
            <w:r>
              <w:rPr>
                <w:rFonts w:ascii="맑은 고딕" w:hAnsi="맑은 고딕" w:eastAsia="맑은 고딕"/>
                <w:b w:val="0"/>
                <w:i w:val="0"/>
                <w:color w:val="1A1A1A"/>
                <w:sz w:val="21"/>
              </w:rPr>
              <w:t>파업만 마무리되면 peers → 리노공업으로 순환매가 가능한 시기가 올 수 있다.</w:t>
            </w:r>
          </w:p>
        </w:tc>
      </w:tr>
    </w:tbl>
    <w:p>
      <w:pPr>
        <w:spacing w:after="120"/>
      </w:pPr>
    </w:p>
    <w:p>
      <w:pPr>
        <w:spacing w:before="200" w:after="80"/>
      </w:pPr>
      <w:r>
        <w:rPr>
          <w:rFonts w:ascii="맑은 고딕" w:hAnsi="맑은 고딕" w:eastAsia="맑은 고딕"/>
          <w:b/>
          <w:i w:val="0"/>
          <w:color w:val="1E407C"/>
          <w:sz w:val="26"/>
        </w:rPr>
        <w:t>1) 삼성증권 2Q26 리뷰</w:t>
      </w:r>
    </w:p>
    <w:p>
      <w:pPr>
        <w:spacing w:after="120" w:before="0" w:line="283" w:lineRule="auto"/>
        <w:jc w:val="left"/>
      </w:pPr>
      <w:r>
        <w:rPr>
          <w:rFonts w:ascii="맑은 고딕" w:hAnsi="맑은 고딕" w:eastAsia="맑은 고딕"/>
          <w:b w:val="0"/>
          <w:i w:val="0"/>
          <w:color w:val="1A1A1A"/>
          <w:sz w:val="22"/>
        </w:rPr>
        <w:t>시장의 우려를 재차 실적으로 반박. 물량/판가 모두 증가, 영업이익률 50% 초과, 컨센서스 상회. 판가 확대 지속 vs 추후 비용 구조 변화 리스크도 상쇄될 것. 목표주가를 100,000원 (27년 PER 32배)으로 하향.</w:t>
      </w:r>
    </w:p>
    <w:p>
      <w:pPr>
        <w:spacing w:before="200" w:after="80"/>
      </w:pPr>
      <w:r>
        <w:rPr>
          <w:rFonts w:ascii="맑은 고딕" w:hAnsi="맑은 고딕" w:eastAsia="맑은 고딕"/>
          <w:b/>
          <w:i w:val="0"/>
          <w:color w:val="1E407C"/>
          <w:sz w:val="26"/>
        </w:rPr>
        <w:t>2) 2Q26 실적 — 매우 양호</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748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매출</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1,432억원  ·  YoY +30%</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영업이익</w:t>
            </w:r>
          </w:p>
        </w:tc>
        <w:tc>
          <w:tcPr>
            <w:tcW w:type="dxa" w:w="74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735억원  ·  YoY +37%</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영업이익률</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51.3%</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상반기 영업이익</w:t>
            </w:r>
          </w:p>
        </w:tc>
        <w:tc>
          <w:tcPr>
            <w:tcW w:type="dxa" w:w="74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1,208억원  ·  +36.7%</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믹스</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핀·소켓 물량 + ASP 동반 상승. AI/HPC용 고성능 반도체 테스트 수요 견조</w:t>
            </w:r>
          </w:p>
        </w:tc>
      </w:tr>
    </w:tbl>
    <w:p>
      <w:pPr>
        <w:spacing w:after="160" w:before="40"/>
      </w:pPr>
    </w:p>
    <w:p>
      <w:pPr>
        <w:spacing w:after="120" w:before="0" w:line="283" w:lineRule="auto"/>
        <w:jc w:val="left"/>
      </w:pPr>
      <w:r>
        <w:rPr>
          <w:rFonts w:ascii="맑은 고딕" w:hAnsi="맑은 고딕" w:eastAsia="맑은 고딕"/>
          <w:b w:val="0"/>
          <w:i w:val="0"/>
          <w:color w:val="1A1A1A"/>
          <w:sz w:val="22"/>
        </w:rPr>
        <w:t>핵심: 파업 직전까지는 실적·수익성 모두 강한 성장 국면.</w:t>
      </w:r>
    </w:p>
    <w:p>
      <w:pPr>
        <w:spacing w:before="200" w:after="80"/>
      </w:pPr>
      <w:r>
        <w:rPr>
          <w:rFonts w:ascii="맑은 고딕" w:hAnsi="맑은 고딕" w:eastAsia="맑은 고딕"/>
          <w:b/>
          <w:i w:val="0"/>
          <w:color w:val="1E407C"/>
          <w:sz w:val="26"/>
        </w:rPr>
        <w:t>3) 최대 변수 — 창사 이래 첫 무기한 총파업</w:t>
      </w:r>
    </w:p>
    <w:p>
      <w:pPr>
        <w:spacing w:after="120" w:before="0" w:line="283" w:lineRule="auto"/>
        <w:jc w:val="left"/>
      </w:pPr>
      <w:r>
        <w:rPr>
          <w:rFonts w:ascii="맑은 고딕" w:hAnsi="맑은 고딕" w:eastAsia="맑은 고딕"/>
          <w:b w:val="0"/>
          <w:i w:val="0"/>
          <w:color w:val="1A1A1A"/>
          <w:sz w:val="22"/>
        </w:rPr>
        <w:t>7/23부터 무기한 총파업 → 8/17 현재 약 4주.</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793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노조 요구</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연 800% 고정상여  ·  영업이익의 15% 성과급</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회사 측 우려</w:t>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인건비가 매출액의 약 30% 수준까지 상승 가능</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생산 차질 → 3Q 매출 감소 가능성</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장기화 시 고객의 경쟁사 전환 가능성</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핵심은 ‘매출 감소’보다 마진 훼손</w:t>
            </w:r>
          </w:p>
          <w:p>
            <w:pPr>
              <w:spacing w:after="20" w:before="0" w:line="276" w:lineRule="auto"/>
            </w:pPr>
            <w:r>
              <w:rPr>
                <w:rFonts w:ascii="맑은 고딕" w:hAnsi="맑은 고딕" w:eastAsia="맑은 고딕"/>
                <w:b w:val="0"/>
                <w:i w:val="0"/>
                <w:color w:val="1A1A1A"/>
                <w:sz w:val="21"/>
              </w:rPr>
              <w:t>현재 OPM 50%+  →  임금체계가 구조적으로 바뀌면  →  40%대 중반까지 하락 가능성을 시장이 우려.</w:t>
            </w:r>
          </w:p>
        </w:tc>
      </w:tr>
    </w:tbl>
    <w:p>
      <w:pPr>
        <w:spacing w:after="120"/>
      </w:pPr>
    </w:p>
    <w:p>
      <w:pPr>
        <w:spacing w:after="120" w:before="0" w:line="283" w:lineRule="auto"/>
        <w:jc w:val="left"/>
      </w:pPr>
      <w:r>
        <w:rPr>
          <w:rFonts w:ascii="맑은 고딕" w:hAnsi="맑은 고딕" w:eastAsia="맑은 고딕"/>
          <w:b w:val="0"/>
          <w:i w:val="0"/>
          <w:color w:val="1A1A1A"/>
          <w:sz w:val="22"/>
        </w:rPr>
        <w:t>파업만 마무리/종료가 잘 되기만 하면 다시 peers → 리노공업으로 순환매도 가능한 시기가 올 수 있습니다.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8.  </w:t>
      </w:r>
      <w:r>
        <w:rPr>
          <w:rFonts w:ascii="맑은 고딕" w:hAnsi="맑은 고딕" w:eastAsia="맑은 고딕"/>
          <w:b/>
          <w:i w:val="0"/>
          <w:color w:val="0F2043"/>
          <w:sz w:val="32"/>
        </w:rPr>
        <w:t>보론  ·  메모리 밸류에이션 비교 프레임</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왜 보론인가</w:t>
            </w:r>
          </w:p>
          <w:p>
            <w:pPr>
              <w:spacing w:after="20" w:before="0" w:line="276" w:lineRule="auto"/>
            </w:pPr>
            <w:r>
              <w:rPr>
                <w:rFonts w:ascii="맑은 고딕" w:hAnsi="맑은 고딕" w:eastAsia="맑은 고딕"/>
                <w:b w:val="0"/>
                <w:i w:val="0"/>
                <w:color w:val="1A1A1A"/>
                <w:sz w:val="21"/>
              </w:rPr>
              <w:t>오늘은 NON-삼전닉스 강의입니다. 다만 당일 코멘트에 삼전닉스·마이크론·샌디스크·키옥시아·CXMT 비교가 있어, 녹화 중 질문 대비로 숫자를 한곳에 모아 둡니다.</w:t>
            </w:r>
          </w:p>
          <w:p>
            <w:pPr>
              <w:spacing w:after="20" w:before="0" w:line="276" w:lineRule="auto"/>
            </w:pPr>
            <w:r>
              <w:rPr>
                <w:rFonts w:ascii="맑은 고딕" w:hAnsi="맑은 고딕" w:eastAsia="맑은 고딕"/>
                <w:b w:val="0"/>
                <w:i w:val="0"/>
                <w:color w:val="1A1A1A"/>
                <w:sz w:val="21"/>
              </w:rPr>
              <w:t>SK 지주사 이야기의 기본이 SK스퀘어(하이닉스)이기도 합니다.</w:t>
            </w:r>
          </w:p>
        </w:tc>
      </w:tr>
    </w:tbl>
    <w:p>
      <w:pPr>
        <w:spacing w:after="120"/>
      </w:pPr>
    </w:p>
    <w:p>
      <w:pPr>
        <w:spacing w:before="200" w:after="80"/>
      </w:pPr>
      <w:r>
        <w:rPr>
          <w:rFonts w:ascii="맑은 고딕" w:hAnsi="맑은 고딕" w:eastAsia="맑은 고딕"/>
          <w:b/>
          <w:i w:val="0"/>
          <w:color w:val="1E407C"/>
          <w:sz w:val="26"/>
        </w:rPr>
        <w:t>1) 해외 피어 — 8/14 종가 기준</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가격</w:t>
            </w:r>
          </w:p>
        </w:tc>
        <w:tc>
          <w:tcPr>
            <w:tcW w:type="dxa" w:w="56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밸류에이션</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971.66달러</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Forward 12개월 PER 7.8배  /  CY27 EPS(컨센) 150달러 → PER 6.5배</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Sandisk</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1,644.11달러</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FY27.1Q 가이던스 EPS 45달러, QoQ +10%/+5%/+5% 가정 → FY27 EPS 201달러, PER 8.2배</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키옥시아</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7~9월 가이던스 ×4</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12개월 선행 PER ~6배 중반. 메모리 업황 개선 기대에 오후장 +10%대</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CXMT</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공모가 7배 상승</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키옥시아 +15% / CXMT +10% 가량 동반 강세</w:t>
            </w:r>
          </w:p>
        </w:tc>
      </w:tr>
    </w:tbl>
    <w:p>
      <w:pPr>
        <w:spacing w:after="160" w:before="40"/>
      </w:pPr>
    </w:p>
    <w:p>
      <w:pPr>
        <w:spacing w:before="200" w:after="80"/>
      </w:pPr>
      <w:r>
        <w:rPr>
          <w:rFonts w:ascii="맑은 고딕" w:hAnsi="맑은 고딕" w:eastAsia="맑은 고딕"/>
          <w:b/>
          <w:i w:val="0"/>
          <w:color w:val="1E407C"/>
          <w:sz w:val="26"/>
        </w:rPr>
        <w:t>2) SK하이닉스 ADR vs 본주</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76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521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r>
      <w:tr>
        <w:trPr>
          <w:cantSplit/>
        </w:trPr>
        <w:tc>
          <w:tcPr>
            <w:tcW w:type="dxa" w:w="4762"/>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 ADR</w:t>
            </w:r>
          </w:p>
        </w:tc>
        <w:tc>
          <w:tcPr>
            <w:tcW w:type="dxa" w:w="521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166.33달러  (235.9만원 = 1,418.5원/달러 기준)</w:t>
            </w:r>
          </w:p>
        </w:tc>
      </w:tr>
      <w:tr>
        <w:trPr>
          <w:cantSplit/>
        </w:trPr>
        <w:tc>
          <w:tcPr>
            <w:tcW w:type="dxa" w:w="4762"/>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ADR 26년 / 27년 PER</w:t>
            </w:r>
          </w:p>
        </w:tc>
        <w:tc>
          <w:tcPr>
            <w:tcW w:type="dxa" w:w="521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6.8배 / 5.4배</w:t>
            </w:r>
          </w:p>
        </w:tc>
      </w:tr>
      <w:tr>
        <w:trPr>
          <w:cantSplit/>
        </w:trPr>
        <w:tc>
          <w:tcPr>
            <w:tcW w:type="dxa" w:w="4762"/>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 대비</w:t>
            </w:r>
          </w:p>
        </w:tc>
        <w:tc>
          <w:tcPr>
            <w:tcW w:type="dxa" w:w="521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−17%  (과거 −20~−50%)</w:t>
            </w:r>
          </w:p>
        </w:tc>
      </w:tr>
      <w:tr>
        <w:trPr>
          <w:cantSplit/>
        </w:trPr>
        <w:tc>
          <w:tcPr>
            <w:tcW w:type="dxa" w:w="4762"/>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본주 대비 프리미엄</w:t>
            </w:r>
          </w:p>
        </w:tc>
        <w:tc>
          <w:tcPr>
            <w:tcW w:type="dxa" w:w="521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43%</w:t>
            </w:r>
          </w:p>
        </w:tc>
      </w:tr>
      <w:tr>
        <w:trPr>
          <w:cantSplit/>
        </w:trPr>
        <w:tc>
          <w:tcPr>
            <w:tcW w:type="dxa" w:w="4762"/>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정상 프리미엄 +20% 가정 (TSMC 15% 수준)</w:t>
            </w:r>
          </w:p>
        </w:tc>
        <w:tc>
          <w:tcPr>
            <w:tcW w:type="dxa" w:w="521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본주는 현시점 196만원은 되어야</w:t>
            </w:r>
          </w:p>
        </w:tc>
      </w:tr>
      <w:tr>
        <w:trPr>
          <w:cantSplit/>
        </w:trPr>
        <w:tc>
          <w:tcPr>
            <w:tcW w:type="dxa" w:w="4762"/>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최근 실제 30% 이상 프리미엄 감안, 30~35% 적용</w:t>
            </w:r>
          </w:p>
        </w:tc>
        <w:tc>
          <w:tcPr>
            <w:tcW w:type="dxa" w:w="521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본주 175~181만원</w:t>
            </w:r>
          </w:p>
        </w:tc>
      </w:tr>
    </w:tbl>
    <w:p>
      <w:pPr>
        <w:spacing w:after="160" w:before="40"/>
      </w:pPr>
    </w:p>
    <w:p>
      <w:pPr>
        <w:spacing w:before="200" w:after="80"/>
      </w:pPr>
      <w:r>
        <w:rPr>
          <w:rFonts w:ascii="맑은 고딕" w:hAnsi="맑은 고딕" w:eastAsia="맑은 고딕"/>
          <w:b/>
          <w:i w:val="0"/>
          <w:color w:val="1E407C"/>
          <w:sz w:val="26"/>
        </w:rPr>
        <w:t>3) 본주 밸류 — 8/14 종가 흐름</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1682"/>
        <w:gridCol w:w="1682"/>
        <w:gridCol w:w="1682"/>
        <w:gridCol w:w="1682"/>
        <w:gridCol w:w="1682"/>
        <w:gridCol w:w="1682"/>
      </w:tblGrid>
      <w:tr>
        <w:trPr>
          <w:cantSplit/>
        </w:trPr>
        <w:tc>
          <w:tcPr>
            <w:tcW w:type="dxa" w:w="158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가격</w:t>
            </w:r>
          </w:p>
        </w:tc>
        <w:tc>
          <w:tcPr>
            <w:tcW w:type="dxa" w:w="13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26년 PER</w:t>
            </w:r>
          </w:p>
        </w:tc>
        <w:tc>
          <w:tcPr>
            <w:tcW w:type="dxa" w:w="13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27년 PER</w:t>
            </w:r>
          </w:p>
        </w:tc>
        <w:tc>
          <w:tcPr>
            <w:tcW w:type="dxa" w:w="215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26년 OP / EPS</w:t>
            </w:r>
          </w:p>
        </w:tc>
        <w:tc>
          <w:tcPr>
            <w:tcW w:type="dxa" w:w="215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27년 OP / EPS</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w:t>
            </w:r>
          </w:p>
        </w:tc>
        <w:tc>
          <w:tcPr>
            <w:tcW w:type="dxa" w:w="147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164.5만원</w:t>
            </w:r>
          </w:p>
        </w:tc>
        <w:tc>
          <w:tcPr>
            <w:tcW w:type="dxa" w:w="13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4.8배</w:t>
            </w:r>
          </w:p>
        </w:tc>
        <w:tc>
          <w:tcPr>
            <w:tcW w:type="dxa" w:w="13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3.8배</w:t>
            </w:r>
          </w:p>
        </w:tc>
        <w:tc>
          <w:tcPr>
            <w:tcW w:type="dxa" w:w="215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266조 / 346K</w:t>
            </w:r>
          </w:p>
        </w:tc>
        <w:tc>
          <w:tcPr>
            <w:tcW w:type="dxa" w:w="215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392조 / 437K</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147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27.45만원</w:t>
            </w:r>
          </w:p>
        </w:tc>
        <w:tc>
          <w:tcPr>
            <w:tcW w:type="dxa" w:w="13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5.7배</w:t>
            </w:r>
          </w:p>
        </w:tc>
        <w:tc>
          <w:tcPr>
            <w:tcW w:type="dxa" w:w="13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4.1배</w:t>
            </w:r>
          </w:p>
        </w:tc>
        <w:tc>
          <w:tcPr>
            <w:tcW w:type="dxa" w:w="215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391조 / 47.9K</w:t>
            </w:r>
          </w:p>
        </w:tc>
        <w:tc>
          <w:tcPr>
            <w:tcW w:type="dxa" w:w="215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549조 / 67.2K</w:t>
            </w:r>
          </w:p>
        </w:tc>
      </w:tr>
    </w:tbl>
    <w:p>
      <w:pPr>
        <w:spacing w:after="160" w:before="40"/>
      </w:pPr>
    </w:p>
    <w:p>
      <w:pPr>
        <w:spacing w:before="200" w:after="80"/>
      </w:pPr>
      <w:r>
        <w:rPr>
          <w:rFonts w:ascii="맑은 고딕" w:hAnsi="맑은 고딕" w:eastAsia="맑은 고딕"/>
          <w:b/>
          <w:i w:val="0"/>
          <w:color w:val="1E407C"/>
          <w:sz w:val="26"/>
        </w:rPr>
        <w:t>4) 두 가지 접근</w:t>
      </w:r>
    </w:p>
    <w:p>
      <w:pPr>
        <w:spacing w:before="160" w:after="60"/>
      </w:pPr>
      <w:r>
        <w:rPr>
          <w:rFonts w:ascii="맑은 고딕" w:hAnsi="맑은 고딕" w:eastAsia="맑은 고딕"/>
          <w:b/>
          <w:i w:val="0"/>
          <w:color w:val="0F2043"/>
          <w:sz w:val="23"/>
        </w:rPr>
        <w:t>접근 A — ADR 프리미엄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최근 ADR 프리미엄을 인정한다면 감안 정도만: 하이닉스 170~180만원, 정상적 프리미엄이면 196만원.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같은 흐름이라면 삼전 29만원대.</w:t>
      </w:r>
    </w:p>
    <w:p>
      <w:pPr>
        <w:spacing w:before="160" w:after="60"/>
      </w:pPr>
      <w:r>
        <w:rPr>
          <w:rFonts w:ascii="맑은 고딕" w:hAnsi="맑은 고딕" w:eastAsia="맑은 고딕"/>
          <w:b/>
          <w:i w:val="0"/>
          <w:color w:val="0F2043"/>
          <w:sz w:val="23"/>
        </w:rPr>
        <w:t>접근 B — 밸류에이션/성장률 (보수)</w:t>
      </w:r>
    </w:p>
    <w:p>
      <w:pPr>
        <w:spacing w:after="120" w:before="0" w:line="283" w:lineRule="auto"/>
        <w:jc w:val="left"/>
      </w:pPr>
      <w:r>
        <w:rPr>
          <w:rFonts w:ascii="맑은 고딕" w:hAnsi="맑은 고딕" w:eastAsia="맑은 고딕"/>
          <w:b w:val="0"/>
          <w:i w:val="0"/>
          <w:color w:val="1A1A1A"/>
          <w:sz w:val="22"/>
        </w:rPr>
        <w:t>26년 실적 대비 27년 성장이 없다고 단순화. 26년 PER 6~7배 (과거 사이클 주식 4~8배) 적용.</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317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PER 6배</w:t>
            </w:r>
          </w:p>
        </w:tc>
        <w:tc>
          <w:tcPr>
            <w:tcW w:type="dxa" w:w="317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PER 7배</w:t>
            </w:r>
          </w:p>
        </w:tc>
      </w:tr>
      <w:tr>
        <w:trPr>
          <w:cantSplit/>
        </w:trPr>
        <w:tc>
          <w:tcPr>
            <w:tcW w:type="dxa" w:w="36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 (26년 EPS 346K)</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208만원</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242만원</w:t>
            </w:r>
          </w:p>
        </w:tc>
      </w:tr>
      <w:tr>
        <w:trPr>
          <w:cantSplit/>
        </w:trPr>
        <w:tc>
          <w:tcPr>
            <w:tcW w:type="dxa" w:w="36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 (26년 EPS 47.9K)</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28.7만원</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33.5만원</w:t>
            </w:r>
          </w:p>
        </w:tc>
      </w:tr>
    </w:tbl>
    <w:p>
      <w:pPr>
        <w:spacing w:after="160" w:before="40"/>
      </w:pPr>
    </w:p>
    <w:p>
      <w:pPr>
        <w:spacing w:after="120" w:before="0" w:line="283" w:lineRule="auto"/>
        <w:jc w:val="left"/>
      </w:pPr>
      <w:r>
        <w:rPr>
          <w:rFonts w:ascii="맑은 고딕" w:hAnsi="맑은 고딕" w:eastAsia="맑은 고딕"/>
          <w:b w:val="0"/>
          <w:i w:val="0"/>
          <w:color w:val="1A1A1A"/>
          <w:sz w:val="22"/>
        </w:rPr>
        <w:t>산출 가능 구간: 하이닉스 208만~242만, 삼전 28.7만~33.5만원.</w:t>
      </w:r>
    </w:p>
    <w:p>
      <w:pPr>
        <w:spacing w:before="280" w:after="160" w:line="264" w:lineRule="auto"/>
        <w:pBdr>
          <w:bottom w:val="single" w:sz="12" w:space="4" w:color="0F2043"/>
        </w:pBdr>
      </w:pPr>
      <w:r>
        <w:rPr>
          <w:rFonts w:ascii="맑은 고딕" w:hAnsi="맑은 고딕" w:eastAsia="맑은 고딕"/>
          <w:b/>
          <w:i w:val="0"/>
          <w:color w:val="B8943A"/>
          <w:sz w:val="32"/>
        </w:rPr>
        <w:t xml:space="preserve">9.  </w:t>
      </w:r>
      <w:r>
        <w:rPr>
          <w:rFonts w:ascii="맑은 고딕" w:hAnsi="맑은 고딕" w:eastAsia="맑은 고딕"/>
          <w:b/>
          <w:i w:val="0"/>
          <w:color w:val="0F2043"/>
          <w:sz w:val="32"/>
        </w:rPr>
        <w:t>클로징</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오늘 강의에서 가져갈 세 문장</w:t>
            </w:r>
          </w:p>
          <w:p>
            <w:pPr>
              <w:spacing w:after="20" w:before="0" w:line="276" w:lineRule="auto"/>
            </w:pPr>
            <w:r>
              <w:rPr>
                <w:rFonts w:ascii="맑은 고딕" w:hAnsi="맑은 고딕" w:eastAsia="맑은 고딕"/>
                <w:b w:val="0"/>
                <w:i w:val="0"/>
                <w:color w:val="1A1A1A"/>
                <w:sz w:val="21"/>
              </w:rPr>
              <w:t>1) 소부장: 2Q 숫자보다 수주가 매출로 바뀌는 하반기, 그리고 2027 수주가 다시 증가하는지가 승부처다. 테스는 BSD 퀄, 한미는 점유율, 원익은 3개 체크리스트.</w:t>
            </w:r>
          </w:p>
          <w:p>
            <w:pPr>
              <w:spacing w:after="20" w:before="0" w:line="276" w:lineRule="auto"/>
            </w:pPr>
            <w:r>
              <w:rPr>
                <w:rFonts w:ascii="맑은 고딕" w:hAnsi="맑은 고딕" w:eastAsia="맑은 고딕"/>
                <w:b w:val="0"/>
                <w:i w:val="0"/>
                <w:color w:val="1A1A1A"/>
                <w:sz w:val="21"/>
              </w:rPr>
              <w:t>2) SK: 할인율이 좁혀질 이유가 늘었다. 에코플랜트 2.1조는 낮고, 재평가만으로도 96~106만이 나온다. 그래도 기본은 하이닉스와 이노베이션.</w:t>
            </w:r>
          </w:p>
          <w:p>
            <w:pPr>
              <w:spacing w:after="20" w:before="0" w:line="276" w:lineRule="auto"/>
            </w:pPr>
            <w:r>
              <w:rPr>
                <w:rFonts w:ascii="맑은 고딕" w:hAnsi="맑은 고딕" w:eastAsia="맑은 고딕"/>
                <w:b w:val="0"/>
                <w:i w:val="0"/>
                <w:color w:val="1A1A1A"/>
                <w:sz w:val="21"/>
              </w:rPr>
              <w:t>3) Atlas: 로봇 성능 논쟁은 끝나가고, 공장에서 몇 대가 몇 시간 일하느냐가 시작이다. 모비스는 부품, 글로비스는 서열·물류 데이터.</w:t>
            </w:r>
          </w:p>
        </w:tc>
      </w:tr>
    </w:tbl>
    <w:p>
      <w:pPr>
        <w:spacing w:after="120"/>
      </w:pPr>
    </w:p>
    <w:p>
      <w:pPr>
        <w:spacing w:before="200" w:after="80"/>
      </w:pPr>
      <w:r>
        <w:rPr>
          <w:rFonts w:ascii="맑은 고딕" w:hAnsi="맑은 고딕" w:eastAsia="맑은 고딕"/>
          <w:b/>
          <w:i w:val="0"/>
          <w:color w:val="1E407C"/>
          <w:sz w:val="26"/>
        </w:rPr>
        <w:t>클로징 멘트 (녹화용)</w:t>
      </w:r>
    </w:p>
    <w:p>
      <w:pPr>
        <w:spacing w:after="120" w:before="0" w:line="283" w:lineRule="auto"/>
        <w:jc w:val="left"/>
      </w:pPr>
      <w:r>
        <w:rPr>
          <w:rFonts w:ascii="맑은 고딕" w:hAnsi="맑은 고딕" w:eastAsia="맑은 고딕"/>
          <w:b w:val="0"/>
          <w:i w:val="0"/>
          <w:color w:val="1A1A1A"/>
          <w:sz w:val="22"/>
        </w:rPr>
        <w:t>모든 게 미래 어느 시점의 최종수요입니다. 그걸 정확히 아무도 예측하지 못하니, AI 모델·데이터센터·GPU 전망에 기대는 것이고, 자금이 딸리니 서로 묶어서 가는 것입니다. 금융이 붙으면 속도가 빨라지지만 Dark GPU라는 역방향 레버리지도 있습니다. 우려와 병목이 해소되기 전까지 양면적 시각은 계속됩니다. 그래서 오늘은 그 양면 위에서, 삼전닉스가 아니라 수주·할인율·배치를 봤습니다.</w:t>
      </w:r>
    </w:p>
    <w:p>
      <w:pPr>
        <w:spacing w:after="160" w:before="0"/>
      </w:pPr>
    </w:p>
    <w:p>
      <w:pPr>
        <w:spacing w:after="120" w:before="0" w:line="283" w:lineRule="auto"/>
        <w:jc w:val="right"/>
      </w:pPr>
      <w:r>
        <w:rPr>
          <w:rFonts w:ascii="맑은 고딕" w:hAnsi="맑은 고딕" w:eastAsia="맑은 고딕"/>
          <w:b w:val="0"/>
          <w:i w:val="0"/>
          <w:color w:val="4B5563"/>
          <w:sz w:val="19"/>
        </w:rPr>
        <w:t>— 8월 18일 NON-삼전닉스 강의노트. 원문 퀵코멘트(10:25~17:05)를 강의 순서로 재구성.</w:t>
      </w:r>
    </w:p>
    <w:sectPr w:rsidR="00FC693F" w:rsidRPr="0006063C" w:rsidSect="00034616">
      <w:headerReference w:type="default" r:id="rId9"/>
      <w:footerReference w:type="default" r:id="rId10"/>
      <w:pgSz w:w="11906" w:h="16838"/>
      <w:pgMar w:top="907" w:right="907" w:bottom="907"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4B5563"/>
        <w:sz w:val="16"/>
      </w:rPr>
      <w:t xml:space="preserve">영상 녹화용 정리  ·  숫자·시나리오는 공개 코멘트 기준  ·  </w:t>
    </w:r>
    <w:fldSimple w:instr=" PAGE ">
      <w:r>
        <w:rPr>
          <w:sz w:val="16"/>
          <w:color w:val="4B5563"/>
          <w:rFonts w:ascii="맑은 고딕" w:hAnsi="맑은 고딕" w:eastAsia="맑은 고딕"/>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i w:val="0"/>
        <w:color w:val="4B5563"/>
        <w:sz w:val="17"/>
      </w:rPr>
      <w:t>8/18 NON-삼전닉스  ·  소부장 · SK · Atlas  ·  강의노트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8월 18일 NON-삼전닉스 (소부장, SK, 자동차)</dc:title>
  <dc:subject>소부장(테스·한미반도체·원익IPS), SK 지주사/에코플랜트, Atlas</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