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FACT CHECK  ·  2026. 8. 24</w:t>
      </w:r>
    </w:p>
    <w:p>
      <w:pPr>
        <w:spacing w:after="40" w:before="0" w:line="283" w:lineRule="auto"/>
        <w:jc w:val="center"/>
      </w:pPr>
      <w:r>
        <w:rPr>
          <w:rFonts w:ascii="맑은 고딕" w:hAnsi="맑은 고딕" w:eastAsia="맑은 고딕"/>
          <w:b/>
          <w:i w:val="0"/>
          <w:color w:val="B8943A"/>
          <w:sz w:val="26"/>
        </w:rPr>
        <w:t>투자판단 검증 레포트</w:t>
      </w:r>
    </w:p>
    <w:p>
      <w:pPr>
        <w:spacing w:after="40" w:before="0" w:line="283" w:lineRule="auto"/>
        <w:jc w:val="center"/>
      </w:pPr>
      <w:r>
        <w:rPr>
          <w:rFonts w:ascii="맑은 고딕" w:hAnsi="맑은 고딕" w:eastAsia="맑은 고딕"/>
          <w:b/>
          <w:i w:val="0"/>
          <w:color w:val="0F2043"/>
          <w:sz w:val="44"/>
        </w:rPr>
        <w:t>헤드라인보다 분모와 계약</w:t>
      </w:r>
    </w:p>
    <w:p>
      <w:pPr>
        <w:spacing w:after="160" w:before="0" w:line="283" w:lineRule="auto"/>
        <w:jc w:val="center"/>
      </w:pPr>
      <w:r>
        <w:rPr>
          <w:rFonts w:ascii="맑은 고딕" w:hAnsi="맑은 고딕" w:eastAsia="맑은 고딕"/>
          <w:b/>
          <w:i w:val="0"/>
          <w:color w:val="1E407C"/>
          <w:sz w:val="26"/>
        </w:rPr>
        <w:t>150% · MCP · 서버 15% · 광고 노출률 · $3~$5 · SDD 무게</w:t>
      </w:r>
    </w:p>
    <w:p>
      <w:pPr>
        <w:spacing w:after="200" w:before="0" w:line="283" w:lineRule="auto"/>
        <w:jc w:val="center"/>
      </w:pPr>
      <w:r>
        <w:rPr>
          <w:rFonts w:ascii="맑은 고딕" w:hAnsi="맑은 고딕" w:eastAsia="맑은 고딕"/>
          <w:b w:val="0"/>
          <w:i w:val="0"/>
          <w:color w:val="4B5563"/>
          <w:sz w:val="21"/>
        </w:rPr>
        <w:t>작성일 2026. 8. 24  ·  게시 전 교차검증  ·  공개 보도·증권사 리포트 기준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93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문서 성격</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배포 초안의 투자 주장을 교차검증하고, 왜곡 가능한 여섯 표현을 고친 게시용 레포트</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질문</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숫자 자체는 맞는가, 분모와 층위가 맞는가, 그 숫자를 투자 근거로 써도 되는가</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필수 수정</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150%  ·  MCP≠HBM≠DDR5  ·  NVIDIA 서버 15%  ·  광고 표본  ·  최대 CPC  ·  SDD 무게</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쓰지 말 것</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트럼프가 Apple의 CXMT·YMTC 구매를 승인할 것이라는 웨이보발 루머</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한계</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숫자는 공개 보도·증권사 리포트 기준. 매수·매도 추천이 아님</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핵심 요약</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판단</w:t>
            </w:r>
          </w:p>
          <w:p>
            <w:pPr>
              <w:spacing w:after="20" w:before="0" w:line="276" w:lineRule="auto"/>
            </w:pPr>
            <w:r>
              <w:rPr>
                <w:rFonts w:ascii="맑은 고딕" w:hAnsi="맑은 고딕" w:eastAsia="맑은 고딕"/>
                <w:b w:val="0"/>
                <w:i w:val="0"/>
                <w:color w:val="1A1A1A"/>
                <w:sz w:val="21"/>
              </w:rPr>
              <w:t>방향은 맞다. 그대로 배포하면 투자 판단을 왜곡할 표현이 여섯 개 있다.</w:t>
            </w:r>
          </w:p>
          <w:p>
            <w:pPr>
              <w:spacing w:after="20" w:before="0" w:line="276" w:lineRule="auto"/>
            </w:pPr>
            <w:r>
              <w:rPr>
                <w:rFonts w:ascii="맑은 고딕" w:hAnsi="맑은 고딕" w:eastAsia="맑은 고딕"/>
                <w:b w:val="0"/>
                <w:i w:val="0"/>
                <w:color w:val="1A1A1A"/>
                <w:sz w:val="21"/>
              </w:rPr>
              <w:t>헤드라인보다 계약의 법적 강도, 품목 분류와 kg당 통관단가, 실제 출하·수율, CTR·실효 CPC·전환율을 본다.</w:t>
            </w:r>
          </w:p>
          <w:p>
            <w:pPr>
              <w:spacing w:after="20" w:before="0" w:line="276" w:lineRule="auto"/>
            </w:pPr>
            <w:r>
              <w:rPr>
                <w:rFonts w:ascii="맑은 고딕" w:hAnsi="맑은 고딕" w:eastAsia="맑은 고딕"/>
                <w:b w:val="0"/>
                <w:i w:val="0"/>
                <w:color w:val="1A1A1A"/>
                <w:sz w:val="21"/>
              </w:rPr>
              <w:t>지금 투자 근거로 쓰면 안 되는 것은 Apple–CXMT·YMTC 승인 루머다. 시나리오 분기점으로만 관리한다.</w:t>
            </w:r>
          </w:p>
        </w:tc>
      </w:tr>
    </w:tbl>
    <w:p>
      <w:pPr>
        <w:spacing w:after="120"/>
      </w:pPr>
    </w:p>
    <w:p>
      <w:pPr>
        <w:spacing w:before="200" w:after="80"/>
      </w:pPr>
      <w:r>
        <w:rPr>
          <w:rFonts w:ascii="맑은 고딕" w:hAnsi="맑은 고딕" w:eastAsia="맑은 고딕"/>
          <w:b/>
          <w:i w:val="0"/>
          <w:color w:val="1E407C"/>
          <w:sz w:val="26"/>
        </w:rPr>
        <w:t>0-1. 반드시 고칠 여섯 가지</w:t>
      </w:r>
    </w:p>
    <w:p>
      <w:pPr>
        <w:spacing w:before="80" w:after="40"/>
        <w:jc w:val="center"/>
      </w:pPr>
      <w:r>
        <w:drawing>
          <wp:inline xmlns:a="http://schemas.openxmlformats.org/drawingml/2006/main" xmlns:pic="http://schemas.openxmlformats.org/drawingml/2006/picture">
            <wp:extent cx="5903999" cy="3602252"/>
            <wp:docPr id="1" name="Picture 1"/>
            <wp:cNvGraphicFramePr>
              <a:graphicFrameLocks noChangeAspect="1"/>
            </wp:cNvGraphicFramePr>
            <a:graphic>
              <a:graphicData uri="http://schemas.openxmlformats.org/drawingml/2006/picture">
                <pic:pic>
                  <pic:nvPicPr>
                    <pic:cNvPr id="0" name="20260824_six_must_fix.png"/>
                    <pic:cNvPicPr/>
                  </pic:nvPicPr>
                  <pic:blipFill>
                    <a:blip r:embed="rId11"/>
                    <a:stretch>
                      <a:fillRect/>
                    </a:stretch>
                  </pic:blipFill>
                  <pic:spPr>
                    <a:xfrm>
                      <a:off x="0" y="0"/>
                      <a:ext cx="5903999" cy="3602252"/>
                    </a:xfrm>
                    <a:prstGeom prst="rect"/>
                  </pic:spPr>
                </pic:pic>
              </a:graphicData>
            </a:graphic>
          </wp:inline>
        </w:drawing>
      </w:r>
    </w:p>
    <w:p>
      <w:pPr>
        <w:spacing w:before="0" w:after="200"/>
        <w:jc w:val="center"/>
      </w:pPr>
      <w:r>
        <w:rPr>
          <w:rFonts w:ascii="맑은 고딕" w:hAnsi="맑은 고딕" w:eastAsia="맑은 고딕"/>
          <w:b w:val="0"/>
          <w:i/>
          <w:color w:val="4B5563"/>
          <w:sz w:val="18"/>
        </w:rPr>
        <w:t>그림 1. 배포 전 필수 수정. 숫자는 맞아도 분모·층위·대상이 틀리면 투자 판단이 왜곡된다.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85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쓰면 안 되는 말</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고쳐 쓸 말</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150%</w:t>
            </w:r>
          </w:p>
        </w:tc>
        <w:tc>
          <w:tcPr>
            <w:tcW w:type="dxa" w:w="385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산업 전체 수요가 공급보다 50% 많다</w:t>
            </w:r>
          </w:p>
          <w:p>
            <w:pPr>
              <w:spacing w:before="0" w:after="0" w:line="269" w:lineRule="auto"/>
              <w:jc w:val="center"/>
            </w:pPr>
            <w:r>
              <w:rPr>
                <w:rFonts w:ascii="맑은 고딕" w:hAnsi="맑은 고딕" w:eastAsia="맑은 고딕"/>
                <w:b w:val="0"/>
                <w:i w:val="0"/>
                <w:color w:val="1A1A1A"/>
                <w:sz w:val="19"/>
              </w:rPr>
              <w:t>확정 수주가 CAPA의 150%</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데이터센터 고객의 구매 요구량이</w:t>
            </w:r>
          </w:p>
          <w:p>
            <w:pPr>
              <w:spacing w:before="0" w:after="0" w:line="269" w:lineRule="auto"/>
              <w:jc w:val="center"/>
            </w:pPr>
            <w:r>
              <w:rPr>
                <w:rFonts w:ascii="맑은 고딕" w:hAnsi="맑은 고딕" w:eastAsia="맑은 고딕"/>
                <w:b w:val="0"/>
                <w:i w:val="0"/>
                <w:color w:val="1A1A1A"/>
                <w:sz w:val="19"/>
              </w:rPr>
              <w:t>마이크론이 확약 가능한 공급량의 약 1.5배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 · HBM · DDR5</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MCP=HBM, MCP=DDR5</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MCP는 패키지·통관 분류, HBM은 그 안의 제품,</w:t>
            </w:r>
          </w:p>
          <w:p>
            <w:pPr>
              <w:spacing w:before="0" w:after="0" w:line="269" w:lineRule="auto"/>
              <w:jc w:val="center"/>
            </w:pPr>
            <w:r>
              <w:rPr>
                <w:rFonts w:ascii="맑은 고딕" w:hAnsi="맑은 고딕" w:eastAsia="맑은 고딕"/>
                <w:b w:val="0"/>
                <w:i w:val="0"/>
                <w:color w:val="1A1A1A"/>
                <w:sz w:val="19"/>
              </w:rPr>
              <w:t>DDR5는 DRAM 세대 규격</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NVIDIA 15%</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GPU 가격이 15% 오른다</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NVIDIA AI 칩을 탑재한 서버 시스템 가격이</w:t>
            </w:r>
          </w:p>
          <w:p>
            <w:pPr>
              <w:spacing w:before="0" w:after="0" w:line="269" w:lineRule="auto"/>
              <w:jc w:val="center"/>
            </w:pPr>
            <w:r>
              <w:rPr>
                <w:rFonts w:ascii="맑은 고딕" w:hAnsi="맑은 고딕" w:eastAsia="맑은 고딕"/>
                <w:b w:val="0"/>
                <w:i w:val="0"/>
                <w:color w:val="1A1A1A"/>
                <w:sz w:val="19"/>
              </w:rPr>
              <w:t>많은 경우 15% 이상 오를 수 있다는 보도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노출률</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Mode 검색의 약 1/3, ChatGPT 전체의 26%에서 광고</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광고를 유발하도록 선별한 미국 상업성 표본에서</w:t>
            </w:r>
          </w:p>
          <w:p>
            <w:pPr>
              <w:spacing w:before="0" w:after="0" w:line="269" w:lineRule="auto"/>
              <w:jc w:val="center"/>
            </w:pPr>
            <w:r>
              <w:rPr>
                <w:rFonts w:ascii="맑은 고딕" w:hAnsi="맑은 고딕" w:eastAsia="맑은 고딕"/>
                <w:b w:val="0"/>
                <w:i w:val="0"/>
                <w:color w:val="1A1A1A"/>
                <w:sz w:val="19"/>
              </w:rPr>
              <w:t>29.45% · 25.94%</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OpenAI $3~$5</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실제 CPC가 $3~$5</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초기 CPC 캠페인의 권장 최대 CPC 입찰가.</w:t>
            </w:r>
          </w:p>
          <w:p>
            <w:pPr>
              <w:spacing w:before="0" w:after="0" w:line="269" w:lineRule="auto"/>
              <w:jc w:val="center"/>
            </w:pPr>
            <w:r>
              <w:rPr>
                <w:rFonts w:ascii="맑은 고딕" w:hAnsi="맑은 고딕" w:eastAsia="맑은 고딕"/>
                <w:b w:val="0"/>
                <w:i w:val="0"/>
                <w:color w:val="1A1A1A"/>
                <w:sz w:val="19"/>
              </w:rPr>
              <w:t>실효 CPC는 더 낮을 수 있음</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에스피지 SDD</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중국산 대비 90% 경량화</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중국 제품 무게의 약 90% 수준.</w:t>
            </w:r>
          </w:p>
          <w:p>
            <w:pPr>
              <w:spacing w:before="0" w:after="0" w:line="269" w:lineRule="auto"/>
              <w:jc w:val="center"/>
            </w:pPr>
            <w:r>
              <w:rPr>
                <w:rFonts w:ascii="맑은 고딕" w:hAnsi="맑은 고딕" w:eastAsia="맑은 고딕"/>
                <w:b w:val="0"/>
                <w:i w:val="0"/>
                <w:color w:val="1A1A1A"/>
                <w:sz w:val="19"/>
              </w:rPr>
              <w:t>즉 대략 10% 경량화</w:t>
            </w:r>
          </w:p>
        </w:tc>
      </w:tr>
    </w:tbl>
    <w:p>
      <w:pPr>
        <w:spacing w:after="160" w:before="40"/>
      </w:pPr>
    </w:p>
    <w:p>
      <w:pPr>
        <w:spacing w:before="200" w:after="80"/>
      </w:pPr>
      <w:r>
        <w:rPr>
          <w:rFonts w:ascii="맑은 고딕" w:hAnsi="맑은 고딕" w:eastAsia="맑은 고딕"/>
          <w:b/>
          <w:i w:val="0"/>
          <w:color w:val="1E407C"/>
          <w:sz w:val="26"/>
        </w:rPr>
        <w:t>0-2. 다섯 가지 결론</w:t>
      </w:r>
    </w:p>
    <w:p>
      <w:pPr>
        <w:spacing w:after="120" w:before="0" w:line="283" w:lineRule="auto"/>
        <w:jc w:val="left"/>
      </w:pPr>
      <w:r>
        <w:rPr>
          <w:rFonts w:ascii="맑은 고딕" w:hAnsi="맑은 고딕" w:eastAsia="맑은 고딕"/>
          <w:b w:val="0"/>
          <w:i w:val="0"/>
          <w:color w:val="1A1A1A"/>
          <w:sz w:val="22"/>
        </w:rPr>
        <w:t>첫째, 마이크론 CEO 산제이 메흐로트라의 150%는 강한 고객 구매의향을 보여주는 경영진 발언이다. 분모는 마이크론이 현재 확약할 수 있는 데이터센터 공급량이다. 산업 전체 수급비율도, 확정 주문잔고도 아니다. 더 강한 근거는 16개 전략적 고객계약(SCA), 약 220억 달러의 약정, 약 1,000억 달러의 잔여계약의무다. Memory Supplier → Strategic Partner는 프레임으로 적절하다. 메모리 사이클이 사라졌다는 결론은 지나치다.</w:t>
      </w:r>
    </w:p>
    <w:p>
      <w:pPr>
        <w:spacing w:after="120" w:before="0" w:line="283" w:lineRule="auto"/>
        <w:jc w:val="left"/>
      </w:pPr>
      <w:r>
        <w:rPr>
          <w:rFonts w:ascii="맑은 고딕" w:hAnsi="맑은 고딕" w:eastAsia="맑은 고딕"/>
          <w:b w:val="0"/>
          <w:i w:val="0"/>
          <w:color w:val="1A1A1A"/>
          <w:sz w:val="22"/>
        </w:rPr>
        <w:t>둘째, HBF는 HBM 자기잠식이 아니라 HBM과 SSD 사이의 NAND 기반 계층이다. 총 시장 확대 가능성이 크지만, 일부 HBM 용량·예산을 대체할 여지는 남는다. NVIDIA 쪽 15%는 GPU ASP가 아니라 서버 시스템 가격 보도다. 메모리에는 긍정, 전체 서버 대수에는 양면적이다.</w:t>
      </w:r>
    </w:p>
    <w:p>
      <w:pPr>
        <w:spacing w:after="120" w:before="0" w:line="283" w:lineRule="auto"/>
        <w:jc w:val="left"/>
      </w:pPr>
      <w:r>
        <w:rPr>
          <w:rFonts w:ascii="맑은 고딕" w:hAnsi="맑은 고딕" w:eastAsia="맑은 고딕"/>
          <w:b w:val="0"/>
          <w:i w:val="0"/>
          <w:color w:val="1A1A1A"/>
          <w:sz w:val="22"/>
        </w:rPr>
        <w:t>셋째, DRAM 모듈의 kg당 통관단가 하락을 DRAM die 가격 하락과 동일시하면 안 된다. 다만 8월 1~20일 환산치에서는 단가 하락과 수출중량 감소가 같이 나타났으므로 믹스만의 문제로 단정할 수 없다. MCP 수출액 +4.6%는 통관단가 +10.8%와 역산 중량 −5.6%의 결합이다. MCP 전체를 HBM 출하량으로 보면 안 된다.</w:t>
      </w:r>
    </w:p>
    <w:p>
      <w:pPr>
        <w:spacing w:after="120" w:before="0" w:line="283" w:lineRule="auto"/>
        <w:jc w:val="left"/>
      </w:pPr>
      <w:r>
        <w:rPr>
          <w:rFonts w:ascii="맑은 고딕" w:hAnsi="맑은 고딕" w:eastAsia="맑은 고딕"/>
          <w:b w:val="0"/>
          <w:i w:val="0"/>
          <w:color w:val="1A1A1A"/>
          <w:sz w:val="22"/>
        </w:rPr>
        <w:t>넷째, QDD 직접성은 로보티즈가 앞선다. 실적 방어력은 에스피지가 앞선다. 미래에셋 로보티즈 목표주가 35만6천 원은 2027년 SPS에 P/S 42.3배를 적용한 결과다. iM증권 에스피지 16만 원은 2029년 EPS에 P/E 60배를 적용한 결과다. 두 목표주가를 평균하면 안 된다. SDD 5,000대는 확정 발주가 아니라 목표·공급 추진이다.</w:t>
      </w:r>
    </w:p>
    <w:p>
      <w:pPr>
        <w:spacing w:after="120" w:before="0" w:line="283" w:lineRule="auto"/>
        <w:jc w:val="left"/>
      </w:pPr>
      <w:r>
        <w:rPr>
          <w:rFonts w:ascii="맑은 고딕" w:hAnsi="맑은 고딕" w:eastAsia="맑은 고딕"/>
          <w:b w:val="0"/>
          <w:i w:val="0"/>
          <w:color w:val="1A1A1A"/>
          <w:sz w:val="22"/>
        </w:rPr>
        <w:t>다섯째, Google 29.45%와 ChatGPT 25.94%는 수치가 맞다. 분모를 빼면 과장이다. 둘 다 미국의 상업성·광고 유발 표본이다. ChatGPT는 Free·Go만 해당한다. OpenAI $3~$5는 권장 최대 입찰가다. 광고 재고와 CPC 경매의 시작은 확인됐고, 대규모 광고매출과 추론비용 초과 이익은 아직 미확인이다.</w:t>
      </w:r>
    </w:p>
    <w:p>
      <w:pPr>
        <w:spacing w:before="200" w:after="80"/>
      </w:pPr>
      <w:r>
        <w:rPr>
          <w:rFonts w:ascii="맑은 고딕" w:hAnsi="맑은 고딕" w:eastAsia="맑은 고딕"/>
          <w:b/>
          <w:i w:val="0"/>
          <w:color w:val="1E407C"/>
          <w:sz w:val="26"/>
        </w:rPr>
        <w:t>0-3. 목차</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90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장</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제목</w:t>
            </w:r>
          </w:p>
        </w:tc>
        <w:tc>
          <w:tcPr>
            <w:tcW w:type="dxa" w:w="589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장에서 답하는 질문</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전체 판정표</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어떤 주장을 쓰고, 어떤 주장을 버려야 하는가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II</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150%와 16개 SCA</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150%의 분모는 무엇이고, 계약이 왜 더 중요한가</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III</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HBF 계층 확장</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자기잠식이 전혀 없다고 말해도 되는가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IV</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서버 15%</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메모리에는 왜 긍정이고, 서버 대수에는 왜 양면적인가</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Apple–CXMT·YMTC</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왜 지금 투자 근거로 쓰면 안 되는가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DRAM 모듈과 MCP</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kg당 통관단가와 역산 중량을 어떻게 읽나</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VII</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로보티즈와 에스피지</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QDD 직접성과 실적 방어력을 어떻게 나누나</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VIII</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Google·ChatGPT 광고</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노출률 숫자에 어떤 분모를 붙여야 하나</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IX</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최종 투자판정</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강한 신호, 추가 검증, 쓰면 안 되는 것</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I.  </w:t>
      </w:r>
      <w:r>
        <w:rPr>
          <w:rFonts w:ascii="맑은 고딕" w:hAnsi="맑은 고딕" w:eastAsia="맑은 고딕"/>
          <w:b/>
          <w:i w:val="0"/>
          <w:color w:val="0F2043"/>
          <w:sz w:val="32"/>
        </w:rPr>
        <w:t>전체 판정표</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타당한 주장과 수치가 확인된 주장이 있다. 그대로 쓰면 과장·부정확·루머가 되는 주장도 있다.</w:t>
            </w:r>
          </w:p>
          <w:p>
            <w:pPr>
              <w:spacing w:after="20" w:before="0" w:line="276" w:lineRule="auto"/>
            </w:pPr>
            <w:r>
              <w:rPr>
                <w:rFonts w:ascii="맑은 고딕" w:hAnsi="맑은 고딕" w:eastAsia="맑은 고딕"/>
                <w:b w:val="0"/>
                <w:i w:val="0"/>
                <w:color w:val="1A1A1A"/>
                <w:sz w:val="21"/>
              </w:rPr>
              <w:t>판정은 숫자 존재 여부가 아니라, 그 숫자를 투자 근거로 쓸 수 있는지다.</w:t>
            </w:r>
          </w:p>
        </w:tc>
      </w:tr>
    </w:tbl>
    <w:p>
      <w:pPr>
        <w:spacing w:after="12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주장</w:t>
            </w:r>
          </w:p>
        </w:tc>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판정</w:t>
            </w:r>
          </w:p>
        </w:tc>
        <w:tc>
          <w:tcPr>
            <w:tcW w:type="dxa" w:w="60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검증 결과</w:t>
            </w:r>
          </w:p>
        </w:tc>
      </w:tr>
      <w:tr>
        <w:trPr>
          <w:cantSplit/>
        </w:trPr>
        <w:tc>
          <w:tcPr>
            <w:tcW w:type="dxa" w:w="2381"/>
            <w:shd w:val="clear" w:color="auto" w:fill="FFF8E7"/>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마이크론 고객 수요가</w:t>
            </w:r>
          </w:p>
          <w:p>
            <w:pPr>
              <w:spacing w:before="0" w:after="0" w:line="269" w:lineRule="auto"/>
              <w:jc w:val="left"/>
            </w:pPr>
            <w:r>
              <w:rPr>
                <w:rFonts w:ascii="맑은 고딕" w:hAnsi="맑은 고딕" w:eastAsia="맑은 고딕"/>
                <w:b/>
                <w:i w:val="0"/>
                <w:color w:val="1A1A1A"/>
                <w:sz w:val="19"/>
              </w:rPr>
              <w:t>공급의 150%</w:t>
            </w:r>
          </w:p>
        </w:tc>
        <w:tc>
          <w:tcPr>
            <w:tcW w:type="dxa" w:w="1587"/>
            <w:shd w:val="clear" w:color="auto" w:fill="FFF8E7"/>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부분 확인</w:t>
            </w:r>
          </w:p>
        </w:tc>
        <w:tc>
          <w:tcPr>
            <w:tcW w:type="dxa" w:w="6009"/>
            <w:shd w:val="clear" w:color="auto" w:fill="FFF8E7"/>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CEO 발언은 보도됨. 분모는 마이크론의 확약 가능</w:t>
            </w:r>
          </w:p>
          <w:p>
            <w:pPr>
              <w:spacing w:before="0" w:after="0" w:line="269" w:lineRule="auto"/>
              <w:jc w:val="center"/>
            </w:pPr>
            <w:r>
              <w:rPr>
                <w:rFonts w:ascii="맑은 고딕" w:hAnsi="맑은 고딕" w:eastAsia="맑은 고딕"/>
                <w:b w:val="0"/>
                <w:i w:val="0"/>
                <w:color w:val="1A1A1A"/>
                <w:sz w:val="19"/>
              </w:rPr>
              <w:t>공급량. 확정 주문잔고·산업 전체 수급비율 아님</w:t>
            </w:r>
          </w:p>
        </w:tc>
      </w:tr>
      <w:tr>
        <w:trPr>
          <w:cantSplit/>
        </w:trPr>
        <w:tc>
          <w:tcPr>
            <w:tcW w:type="dxa" w:w="2381"/>
            <w:shd w:val="clear" w:color="auto" w:fill="E8F5E9"/>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메모리 공급자 →</w:t>
            </w:r>
          </w:p>
          <w:p>
            <w:pPr>
              <w:spacing w:before="0" w:after="0" w:line="269" w:lineRule="auto"/>
              <w:jc w:val="left"/>
            </w:pPr>
            <w:r>
              <w:rPr>
                <w:rFonts w:ascii="맑은 고딕" w:hAnsi="맑은 고딕" w:eastAsia="맑은 고딕"/>
                <w:b/>
                <w:i w:val="0"/>
                <w:color w:val="1A1A1A"/>
                <w:sz w:val="19"/>
              </w:rPr>
              <w:t>전략적 파트너</w:t>
            </w:r>
          </w:p>
        </w:tc>
        <w:tc>
          <w:tcPr>
            <w:tcW w:type="dxa" w:w="1587"/>
            <w:shd w:val="clear" w:color="auto" w:fill="E8F5E9"/>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타당</w:t>
            </w:r>
          </w:p>
        </w:tc>
        <w:tc>
          <w:tcPr>
            <w:tcW w:type="dxa" w:w="6009"/>
            <w:shd w:val="clear" w:color="auto" w:fill="E8F5E9"/>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16개 장기 SCA, take-or-pay, 현금예치, 가격하한,</w:t>
            </w:r>
          </w:p>
          <w:p>
            <w:pPr>
              <w:spacing w:before="0" w:after="0" w:line="269" w:lineRule="auto"/>
              <w:jc w:val="center"/>
            </w:pPr>
            <w:r>
              <w:rPr>
                <w:rFonts w:ascii="맑은 고딕" w:hAnsi="맑은 고딕" w:eastAsia="맑은 고딕"/>
                <w:b w:val="0"/>
                <w:i w:val="0"/>
                <w:color w:val="1A1A1A"/>
                <w:sz w:val="19"/>
              </w:rPr>
              <w:t>약 1,000억 달러 잔여계약의무가 구조 변화를 뒷받침</w:t>
            </w:r>
          </w:p>
        </w:tc>
      </w:tr>
      <w:tr>
        <w:trPr>
          <w:cantSplit/>
        </w:trPr>
        <w:tc>
          <w:tcPr>
            <w:tcW w:type="dxa" w:w="2381"/>
            <w:shd w:val="clear" w:color="auto" w:fill="FDECEA"/>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 사이클이 사라짐</w:t>
            </w:r>
          </w:p>
        </w:tc>
        <w:tc>
          <w:tcPr>
            <w:tcW w:type="dxa" w:w="1587"/>
            <w:shd w:val="clear" w:color="auto" w:fill="FDECEA"/>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과장</w:t>
            </w:r>
          </w:p>
        </w:tc>
        <w:tc>
          <w:tcPr>
            <w:tcW w:type="dxa" w:w="6009"/>
            <w:shd w:val="clear" w:color="auto" w:fill="FDECEA"/>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계약이 변동성을 완충하지만 증설, AI 투자수익률,</w:t>
            </w:r>
          </w:p>
          <w:p>
            <w:pPr>
              <w:spacing w:before="0" w:after="0" w:line="269" w:lineRule="auto"/>
              <w:jc w:val="center"/>
            </w:pPr>
            <w:r>
              <w:rPr>
                <w:rFonts w:ascii="맑은 고딕" w:hAnsi="맑은 고딕" w:eastAsia="맑은 고딕"/>
                <w:b w:val="0"/>
                <w:i w:val="0"/>
                <w:color w:val="1A1A1A"/>
                <w:sz w:val="19"/>
              </w:rPr>
              <w:t>가격탄력성, 기술 대체에 따른 사이클은 남음</w:t>
            </w:r>
          </w:p>
        </w:tc>
      </w:tr>
      <w:tr>
        <w:trPr>
          <w:cantSplit/>
        </w:trPr>
        <w:tc>
          <w:tcPr>
            <w:tcW w:type="dxa" w:w="2381"/>
            <w:shd w:val="clear" w:color="auto" w:fill="FFF8E7"/>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HBF는 HBM 자기잠식이</w:t>
            </w:r>
          </w:p>
          <w:p>
            <w:pPr>
              <w:spacing w:before="0" w:after="0" w:line="269" w:lineRule="auto"/>
              <w:jc w:val="left"/>
            </w:pPr>
            <w:r>
              <w:rPr>
                <w:rFonts w:ascii="맑은 고딕" w:hAnsi="맑은 고딕" w:eastAsia="맑은 고딕"/>
                <w:b/>
                <w:i w:val="0"/>
                <w:color w:val="1A1A1A"/>
                <w:sz w:val="19"/>
              </w:rPr>
              <w:t>아니라 시장 확대</w:t>
            </w:r>
          </w:p>
        </w:tc>
        <w:tc>
          <w:tcPr>
            <w:tcW w:type="dxa" w:w="1587"/>
            <w:shd w:val="clear" w:color="auto" w:fill="FFF8E7"/>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방향 타당</w:t>
            </w:r>
          </w:p>
        </w:tc>
        <w:tc>
          <w:tcPr>
            <w:tcW w:type="dxa" w:w="6009"/>
            <w:shd w:val="clear" w:color="auto" w:fill="FFF8E7"/>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HBM과 SSD 사이 NAND 기반 계층. 총시장 확대</w:t>
            </w:r>
          </w:p>
          <w:p>
            <w:pPr>
              <w:spacing w:before="0" w:after="0" w:line="269" w:lineRule="auto"/>
              <w:jc w:val="center"/>
            </w:pPr>
            <w:r>
              <w:rPr>
                <w:rFonts w:ascii="맑은 고딕" w:hAnsi="맑은 고딕" w:eastAsia="맑은 고딕"/>
                <w:b w:val="0"/>
                <w:i w:val="0"/>
                <w:color w:val="1A1A1A"/>
                <w:sz w:val="19"/>
              </w:rPr>
              <w:t>가능성이 크지만 일부 HBM 용량·예산 대체 여지</w:t>
            </w:r>
          </w:p>
        </w:tc>
      </w:tr>
      <w:tr>
        <w:trPr>
          <w:cantSplit/>
        </w:trPr>
        <w:tc>
          <w:tcPr>
            <w:tcW w:type="dxa" w:w="2381"/>
            <w:shd w:val="clear" w:color="auto" w:fill="FFF8E7"/>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NVIDIA AI 서버 가격</w:t>
            </w:r>
          </w:p>
          <w:p>
            <w:pPr>
              <w:spacing w:before="0" w:after="0" w:line="269" w:lineRule="auto"/>
              <w:jc w:val="left"/>
            </w:pPr>
            <w:r>
              <w:rPr>
                <w:rFonts w:ascii="맑은 고딕" w:hAnsi="맑은 고딕" w:eastAsia="맑은 고딕"/>
                <w:b/>
                <w:i w:val="0"/>
                <w:color w:val="1A1A1A"/>
                <w:sz w:val="19"/>
              </w:rPr>
              <w:t>15% 이상 인상</w:t>
            </w:r>
          </w:p>
        </w:tc>
        <w:tc>
          <w:tcPr>
            <w:tcW w:type="dxa" w:w="1587"/>
            <w:shd w:val="clear" w:color="auto" w:fill="FFF8E7"/>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보도 확인</w:t>
            </w:r>
          </w:p>
        </w:tc>
        <w:tc>
          <w:tcPr>
            <w:tcW w:type="dxa" w:w="6009"/>
            <w:shd w:val="clear" w:color="auto" w:fill="FFF8E7"/>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서버 시스템 가격 보도. NVIDIA 공식 발표 아님.</w:t>
            </w:r>
          </w:p>
          <w:p>
            <w:pPr>
              <w:spacing w:before="0" w:after="0" w:line="269" w:lineRule="auto"/>
              <w:jc w:val="center"/>
            </w:pPr>
            <w:r>
              <w:rPr>
                <w:rFonts w:ascii="맑은 고딕" w:hAnsi="맑은 고딕" w:eastAsia="맑은 고딕"/>
                <w:b w:val="0"/>
                <w:i w:val="0"/>
                <w:color w:val="1A1A1A"/>
                <w:sz w:val="19"/>
              </w:rPr>
              <w:t>Reuters도 독립 검증하지 못함</w:t>
            </w:r>
          </w:p>
        </w:tc>
      </w:tr>
      <w:tr>
        <w:trPr>
          <w:cantSplit/>
        </w:trPr>
        <w:tc>
          <w:tcPr>
            <w:tcW w:type="dxa" w:w="2381"/>
            <w:shd w:val="clear" w:color="auto" w:fill="FDECEA"/>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트럼프가 Apple의</w:t>
            </w:r>
          </w:p>
          <w:p>
            <w:pPr>
              <w:spacing w:before="0" w:after="0" w:line="269" w:lineRule="auto"/>
              <w:jc w:val="left"/>
            </w:pPr>
            <w:r>
              <w:rPr>
                <w:rFonts w:ascii="맑은 고딕" w:hAnsi="맑은 고딕" w:eastAsia="맑은 고딕"/>
                <w:b/>
                <w:i w:val="0"/>
                <w:color w:val="1A1A1A"/>
                <w:sz w:val="19"/>
              </w:rPr>
              <w:t>CXMT·YMTC 구매 승인 예정</w:t>
            </w:r>
          </w:p>
        </w:tc>
        <w:tc>
          <w:tcPr>
            <w:tcW w:type="dxa" w:w="1587"/>
            <w:shd w:val="clear" w:color="auto" w:fill="FDECEA"/>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미확인 루머</w:t>
            </w:r>
          </w:p>
        </w:tc>
        <w:tc>
          <w:tcPr>
            <w:tcW w:type="dxa" w:w="6009"/>
            <w:shd w:val="clear" w:color="auto" w:fill="FDECEA"/>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Wccftech의 웨이보발 루머, 자체 평가 60% Plausible.</w:t>
            </w:r>
          </w:p>
          <w:p>
            <w:pPr>
              <w:spacing w:before="0" w:after="20" w:line="269" w:lineRule="auto"/>
              <w:jc w:val="center"/>
            </w:pPr>
            <w:r>
              <w:rPr>
                <w:rFonts w:ascii="맑은 고딕" w:hAnsi="맑은 고딕" w:eastAsia="맑은 고딕"/>
                <w:b w:val="0"/>
                <w:i w:val="0"/>
                <w:color w:val="1A1A1A"/>
                <w:sz w:val="19"/>
              </w:rPr>
              <w:t>최근 고품질 보도는 미 행정부가 Apple에 중국 메모리를</w:t>
            </w:r>
          </w:p>
          <w:p>
            <w:pPr>
              <w:spacing w:before="0" w:after="0" w:line="269" w:lineRule="auto"/>
              <w:jc w:val="center"/>
            </w:pPr>
            <w:r>
              <w:rPr>
                <w:rFonts w:ascii="맑은 고딕" w:hAnsi="맑은 고딕" w:eastAsia="맑은 고딕"/>
                <w:b w:val="0"/>
                <w:i w:val="0"/>
                <w:color w:val="1A1A1A"/>
                <w:sz w:val="19"/>
              </w:rPr>
              <w:t>쓰지 말라고 압박한 방향</w:t>
            </w:r>
          </w:p>
        </w:tc>
      </w:tr>
      <w:tr>
        <w:trPr>
          <w:cantSplit/>
        </w:trPr>
        <w:tc>
          <w:tcPr>
            <w:tcW w:type="dxa" w:w="2381"/>
            <w:shd w:val="clear" w:color="auto" w:fill="FDECEA"/>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 = HBM · DDR5</w:t>
            </w:r>
          </w:p>
        </w:tc>
        <w:tc>
          <w:tcPr>
            <w:tcW w:type="dxa" w:w="1587"/>
            <w:shd w:val="clear" w:color="auto" w:fill="FDECEA"/>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부정확</w:t>
            </w:r>
          </w:p>
        </w:tc>
        <w:tc>
          <w:tcPr>
            <w:tcW w:type="dxa" w:w="6009"/>
            <w:shd w:val="clear" w:color="auto" w:fill="FDECEA"/>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MCP 통계에 HBM이 포함되지만 다른 복합 패키지도 포함.</w:t>
            </w:r>
          </w:p>
          <w:p>
            <w:pPr>
              <w:spacing w:before="0" w:after="0" w:line="269" w:lineRule="auto"/>
              <w:jc w:val="center"/>
            </w:pPr>
            <w:r>
              <w:rPr>
                <w:rFonts w:ascii="맑은 고딕" w:hAnsi="맑은 고딕" w:eastAsia="맑은 고딕"/>
                <w:b w:val="0"/>
                <w:i w:val="0"/>
                <w:color w:val="1A1A1A"/>
                <w:sz w:val="19"/>
              </w:rPr>
              <w:t>DDR5 자체는 MCP와 동의어가 아님</w:t>
            </w:r>
          </w:p>
        </w:tc>
      </w:tr>
      <w:tr>
        <w:trPr>
          <w:cantSplit/>
        </w:trPr>
        <w:tc>
          <w:tcPr>
            <w:tcW w:type="dxa" w:w="2381"/>
            <w:shd w:val="clear" w:color="auto" w:fill="E8F5E9"/>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DRAM 모듈 ASP 하락은</w:t>
            </w:r>
          </w:p>
          <w:p>
            <w:pPr>
              <w:spacing w:before="0" w:after="0" w:line="269" w:lineRule="auto"/>
              <w:jc w:val="left"/>
            </w:pPr>
            <w:r>
              <w:rPr>
                <w:rFonts w:ascii="맑은 고딕" w:hAnsi="맑은 고딕" w:eastAsia="맑은 고딕"/>
                <w:b/>
                <w:i w:val="0"/>
                <w:color w:val="1A1A1A"/>
                <w:sz w:val="19"/>
              </w:rPr>
              <w:t>믹스 효과일 수 있음</w:t>
            </w:r>
          </w:p>
        </w:tc>
        <w:tc>
          <w:tcPr>
            <w:tcW w:type="dxa" w:w="1587"/>
            <w:shd w:val="clear" w:color="auto" w:fill="E8F5E9"/>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가능</w:t>
            </w:r>
          </w:p>
        </w:tc>
        <w:tc>
          <w:tcPr>
            <w:tcW w:type="dxa" w:w="6009"/>
            <w:shd w:val="clear" w:color="auto" w:fill="E8F5E9"/>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통관단가뿐 아니라 역산 수출중량 감소도 동반.</w:t>
            </w:r>
          </w:p>
          <w:p>
            <w:pPr>
              <w:spacing w:before="0" w:after="0" w:line="269" w:lineRule="auto"/>
              <w:jc w:val="center"/>
            </w:pPr>
            <w:r>
              <w:rPr>
                <w:rFonts w:ascii="맑은 고딕" w:hAnsi="맑은 고딕" w:eastAsia="맑은 고딕"/>
                <w:b w:val="0"/>
                <w:i w:val="0"/>
                <w:color w:val="1A1A1A"/>
                <w:sz w:val="19"/>
              </w:rPr>
              <w:t>믹스만의 문제로 단정할 수 없음</w:t>
            </w:r>
          </w:p>
        </w:tc>
      </w:tr>
      <w:tr>
        <w:trPr>
          <w:cantSplit/>
        </w:trPr>
        <w:tc>
          <w:tcPr>
            <w:tcW w:type="dxa" w:w="2381"/>
            <w:shd w:val="clear" w:color="auto" w:fill="E8F5E9"/>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로보티즈가 QDD</w:t>
            </w:r>
          </w:p>
          <w:p>
            <w:pPr>
              <w:spacing w:before="0" w:after="0" w:line="269" w:lineRule="auto"/>
              <w:jc w:val="left"/>
            </w:pPr>
            <w:r>
              <w:rPr>
                <w:rFonts w:ascii="맑은 고딕" w:hAnsi="맑은 고딕" w:eastAsia="맑은 고딕"/>
                <w:b/>
                <w:i w:val="0"/>
                <w:color w:val="1A1A1A"/>
                <w:sz w:val="19"/>
              </w:rPr>
              <w:t>직접 수혜도 우위</w:t>
            </w:r>
          </w:p>
        </w:tc>
        <w:tc>
          <w:tcPr>
            <w:tcW w:type="dxa" w:w="1587"/>
            <w:shd w:val="clear" w:color="auto" w:fill="E8F5E9"/>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타당</w:t>
            </w:r>
          </w:p>
        </w:tc>
        <w:tc>
          <w:tcPr>
            <w:tcW w:type="dxa" w:w="6009"/>
            <w:shd w:val="clear" w:color="auto" w:fill="E8F5E9"/>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Q 시리즈와 우즈베키스탄 생산능력 확대가 직접 연결.</w:t>
            </w:r>
          </w:p>
          <w:p>
            <w:pPr>
              <w:spacing w:before="0" w:after="0" w:line="269" w:lineRule="auto"/>
              <w:jc w:val="center"/>
            </w:pPr>
            <w:r>
              <w:rPr>
                <w:rFonts w:ascii="맑은 고딕" w:hAnsi="맑은 고딕" w:eastAsia="맑은 고딕"/>
                <w:b w:val="0"/>
                <w:i w:val="0"/>
                <w:color w:val="1A1A1A"/>
                <w:sz w:val="19"/>
              </w:rPr>
              <w:t>P/S 42.3배와 초기 수율·마진 위험은 큼</w:t>
            </w:r>
          </w:p>
        </w:tc>
      </w:tr>
      <w:tr>
        <w:trPr>
          <w:cantSplit/>
        </w:trPr>
        <w:tc>
          <w:tcPr>
            <w:tcW w:type="dxa" w:w="2381"/>
            <w:shd w:val="clear" w:color="auto" w:fill="FFF8E7"/>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에스피지는 양산형</w:t>
            </w:r>
          </w:p>
          <w:p>
            <w:pPr>
              <w:spacing w:before="0" w:after="0" w:line="269" w:lineRule="auto"/>
              <w:jc w:val="left"/>
            </w:pPr>
            <w:r>
              <w:rPr>
                <w:rFonts w:ascii="맑은 고딕" w:hAnsi="맑은 고딕" w:eastAsia="맑은 고딕"/>
                <w:b/>
                <w:i w:val="0"/>
                <w:color w:val="1A1A1A"/>
                <w:sz w:val="19"/>
              </w:rPr>
              <w:t>부품업체로 전환</w:t>
            </w:r>
          </w:p>
        </w:tc>
        <w:tc>
          <w:tcPr>
            <w:tcW w:type="dxa" w:w="1587"/>
            <w:shd w:val="clear" w:color="auto" w:fill="FFF8E7"/>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절반 확인</w:t>
            </w:r>
          </w:p>
        </w:tc>
        <w:tc>
          <w:tcPr>
            <w:tcW w:type="dxa" w:w="6009"/>
            <w:shd w:val="clear" w:color="auto" w:fill="FFF8E7"/>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정밀감속기는 실제 매출화 단계.</w:t>
            </w:r>
          </w:p>
          <w:p>
            <w:pPr>
              <w:spacing w:before="0" w:after="0" w:line="269" w:lineRule="auto"/>
              <w:jc w:val="center"/>
            </w:pPr>
            <w:r>
              <w:rPr>
                <w:rFonts w:ascii="맑은 고딕" w:hAnsi="맑은 고딕" w:eastAsia="맑은 고딕"/>
                <w:b w:val="0"/>
                <w:i w:val="0"/>
                <w:color w:val="1A1A1A"/>
                <w:sz w:val="19"/>
              </w:rPr>
              <w:t>SDD·QDD는 초기 양산·고객 전환을 검증해야 함</w:t>
            </w:r>
          </w:p>
        </w:tc>
      </w:tr>
      <w:tr>
        <w:trPr>
          <w:cantSplit/>
        </w:trPr>
        <w:tc>
          <w:tcPr>
            <w:tcW w:type="dxa" w:w="2381"/>
            <w:shd w:val="clear" w:color="auto" w:fill="E8F5E9"/>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Google AI Mode 광고 29.45%</w:t>
            </w:r>
          </w:p>
        </w:tc>
        <w:tc>
          <w:tcPr>
            <w:tcW w:type="dxa" w:w="1587"/>
            <w:shd w:val="clear" w:color="auto" w:fill="E8F5E9"/>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수치 확인</w:t>
            </w:r>
          </w:p>
        </w:tc>
        <w:tc>
          <w:tcPr>
            <w:tcW w:type="dxa" w:w="6009"/>
            <w:shd w:val="clear" w:color="auto" w:fill="E8F5E9"/>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광고를 유발하도록 선별한 미국 상업성 키워드 표본</w:t>
            </w:r>
          </w:p>
        </w:tc>
      </w:tr>
      <w:tr>
        <w:trPr>
          <w:cantSplit/>
        </w:trPr>
        <w:tc>
          <w:tcPr>
            <w:tcW w:type="dxa" w:w="2381"/>
            <w:shd w:val="clear" w:color="auto" w:fill="E8F5E9"/>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ChatGPT 광고 25.94%,</w:t>
            </w:r>
          </w:p>
          <w:p>
            <w:pPr>
              <w:spacing w:before="0" w:after="0" w:line="269" w:lineRule="auto"/>
              <w:jc w:val="left"/>
            </w:pPr>
            <w:r>
              <w:rPr>
                <w:rFonts w:ascii="맑은 고딕" w:hAnsi="맑은 고딕" w:eastAsia="맑은 고딕"/>
                <w:b/>
                <w:i w:val="0"/>
                <w:color w:val="1A1A1A"/>
                <w:sz w:val="19"/>
              </w:rPr>
              <w:t>96.37% 미인용</w:t>
            </w:r>
          </w:p>
        </w:tc>
        <w:tc>
          <w:tcPr>
            <w:tcW w:type="dxa" w:w="1587"/>
            <w:shd w:val="clear" w:color="auto" w:fill="E8F5E9"/>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수치 확인</w:t>
            </w:r>
          </w:p>
        </w:tc>
        <w:tc>
          <w:tcPr>
            <w:tcW w:type="dxa" w:w="6009"/>
            <w:shd w:val="clear" w:color="auto" w:fill="E8F5E9"/>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Free·Go 광고 대상 표본. 96.37%는 광고주 도메인이</w:t>
            </w:r>
          </w:p>
          <w:p>
            <w:pPr>
              <w:spacing w:before="0" w:after="0" w:line="269" w:lineRule="auto"/>
              <w:jc w:val="center"/>
            </w:pPr>
            <w:r>
              <w:rPr>
                <w:rFonts w:ascii="맑은 고딕" w:hAnsi="맑은 고딕" w:eastAsia="맑은 고딕"/>
                <w:b w:val="0"/>
                <w:i w:val="0"/>
                <w:color w:val="1A1A1A"/>
                <w:sz w:val="19"/>
              </w:rPr>
              <w:t>답변 출처에 없었다는 의미</w:t>
            </w:r>
          </w:p>
        </w:tc>
      </w:tr>
    </w:tbl>
    <w:p>
      <w:pPr>
        <w:spacing w:after="160" w:before="40"/>
      </w:pPr>
    </w:p>
    <w:p>
      <w:pPr>
        <w:spacing w:after="120" w:before="0" w:line="283" w:lineRule="auto"/>
        <w:jc w:val="left"/>
      </w:pPr>
      <w:r>
        <w:rPr>
          <w:rFonts w:ascii="맑은 고딕" w:hAnsi="맑은 고딕" w:eastAsia="맑은 고딕"/>
          <w:b w:val="0"/>
          <w:i w:val="0"/>
          <w:color w:val="4B5563"/>
          <w:sz w:val="20"/>
        </w:rPr>
        <w:t>색 구분: 초록은 투자 프레임으로 쓸 수 있는 주장, 노랑은 방향은 맞지만 표현을 완화해야 하는 주장, 빨강은 과장·부정확·루머로 배포하면 안 되는 주장이다.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II.  </w:t>
      </w:r>
      <w:r>
        <w:rPr>
          <w:rFonts w:ascii="맑은 고딕" w:hAnsi="맑은 고딕" w:eastAsia="맑은 고딕"/>
          <w:b/>
          <w:i w:val="0"/>
          <w:color w:val="0F2043"/>
          <w:sz w:val="32"/>
        </w:rPr>
        <w:t>마이크론 — 150%보다 장기계약 구조</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게시용 수정 문안</w:t>
            </w:r>
          </w:p>
          <w:p>
            <w:pPr>
              <w:spacing w:after="20" w:before="0" w:line="276" w:lineRule="auto"/>
            </w:pPr>
            <w:r>
              <w:rPr>
                <w:rFonts w:ascii="맑은 고딕" w:hAnsi="맑은 고딕" w:eastAsia="맑은 고딕"/>
                <w:b w:val="0"/>
                <w:i w:val="0"/>
                <w:color w:val="1A1A1A"/>
                <w:sz w:val="21"/>
              </w:rPr>
              <w:t>마이크론 CEO의 발언은 데이터센터 고객의 구매 요구량이 자사가 실제로 확약 가능한 공급량의 약 1.5배라는 의미다.</w:t>
            </w:r>
          </w:p>
          <w:p>
            <w:pPr>
              <w:spacing w:after="20" w:before="0" w:line="276" w:lineRule="auto"/>
            </w:pPr>
            <w:r>
              <w:rPr>
                <w:rFonts w:ascii="맑은 고딕" w:hAnsi="맑은 고딕" w:eastAsia="맑은 고딕"/>
                <w:b w:val="0"/>
                <w:i w:val="0"/>
                <w:color w:val="1A1A1A"/>
                <w:sz w:val="21"/>
              </w:rPr>
              <w:t>이는 산업 전체 공급부족률이나 확정 수주잔고를 뜻하지 않는다.</w:t>
            </w:r>
          </w:p>
          <w:p>
            <w:pPr>
              <w:spacing w:after="20" w:before="0" w:line="276" w:lineRule="auto"/>
            </w:pPr>
            <w:r>
              <w:rPr>
                <w:rFonts w:ascii="맑은 고딕" w:hAnsi="맑은 고딕" w:eastAsia="맑은 고딕"/>
                <w:b w:val="0"/>
                <w:i w:val="0"/>
                <w:color w:val="1A1A1A"/>
                <w:sz w:val="21"/>
              </w:rPr>
              <w:t>더 중요한 변화는 16개 장기 SCA와 take-or-pay·현금예치·가격하한 구조다.</w:t>
            </w:r>
          </w:p>
          <w:p>
            <w:pPr>
              <w:spacing w:after="20" w:before="0" w:line="276" w:lineRule="auto"/>
            </w:pPr>
            <w:r>
              <w:rPr>
                <w:rFonts w:ascii="맑은 고딕" w:hAnsi="맑은 고딕" w:eastAsia="맑은 고딕"/>
                <w:b w:val="0"/>
                <w:i w:val="0"/>
                <w:color w:val="1A1A1A"/>
                <w:sz w:val="21"/>
              </w:rPr>
              <w:t>다만 공급증설과 AI 투자수익률 변화가 존재하므로 메모리 사이클 자체가 사라졌다고 볼 수는 없다.</w:t>
            </w:r>
          </w:p>
        </w:tc>
      </w:tr>
    </w:tbl>
    <w:p>
      <w:pPr>
        <w:spacing w:after="120"/>
      </w:pPr>
    </w:p>
    <w:p>
      <w:pPr>
        <w:spacing w:before="200" w:after="80"/>
      </w:pPr>
      <w:r>
        <w:rPr>
          <w:rFonts w:ascii="맑은 고딕" w:hAnsi="맑은 고딕" w:eastAsia="맑은 고딕"/>
          <w:b/>
          <w:i w:val="0"/>
          <w:color w:val="1E407C"/>
          <w:sz w:val="26"/>
        </w:rPr>
        <w:t>2-1. 150%의 정확한 의미</w:t>
      </w:r>
    </w:p>
    <w:p>
      <w:pPr>
        <w:spacing w:after="120" w:before="0" w:line="283" w:lineRule="auto"/>
        <w:jc w:val="left"/>
      </w:pPr>
      <w:r>
        <w:rPr>
          <w:rFonts w:ascii="맑은 고딕" w:hAnsi="맑은 고딕" w:eastAsia="맑은 고딕"/>
          <w:b w:val="0"/>
          <w:i w:val="0"/>
          <w:color w:val="1A1A1A"/>
          <w:sz w:val="22"/>
        </w:rPr>
        <w:t>마이크론 CEO 산제이 메흐로트라(Sanjay Mehrotra)는 2026년 8월 20일 CNBC Mad Money 인터뷰에서 데이터센터 고객들이 마이크론이 현재 확약할 수 있는 물량보다 약 50% 더 많은 공급을 요구하고 있다고 말했다. CNBC와 Quartz의 표현은 같다. “data-center customers currently want roughly 50% more supply than Micron is able to commit.”</w:t>
      </w:r>
    </w:p>
    <w:p>
      <w:pPr>
        <w:spacing w:after="120" w:before="0" w:line="283" w:lineRule="auto"/>
        <w:jc w:val="left"/>
      </w:pPr>
      <w:r>
        <w:rPr>
          <w:rFonts w:ascii="맑은 고딕" w:hAnsi="맑은 고딕" w:eastAsia="맑은 고딕"/>
          <w:b w:val="0"/>
          <w:i w:val="0"/>
          <w:color w:val="1A1A1A"/>
          <w:sz w:val="22"/>
        </w:rPr>
        <w:t>따라서 가장 정확한 문장은 다음이다.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정확한 한 줄</w:t>
            </w:r>
          </w:p>
          <w:p>
            <w:pPr>
              <w:spacing w:after="20" w:before="0" w:line="276" w:lineRule="auto"/>
            </w:pPr>
            <w:r>
              <w:rPr>
                <w:rFonts w:ascii="맑은 고딕" w:hAnsi="맑은 고딕" w:eastAsia="맑은 고딕"/>
                <w:b w:val="0"/>
                <w:i w:val="0"/>
                <w:color w:val="1A1A1A"/>
                <w:sz w:val="21"/>
              </w:rPr>
              <w:t>데이터센터 고객의 구매 요구량이 마이크론이 실제로 공급을 확약할 수 있는 물량의 약 1.5배다.</w:t>
            </w:r>
          </w:p>
        </w:tc>
      </w:tr>
    </w:tbl>
    <w:p>
      <w:pPr>
        <w:spacing w:after="120"/>
      </w:pPr>
    </w:p>
    <w:p>
      <w:pPr>
        <w:spacing w:after="120" w:before="0" w:line="283" w:lineRule="auto"/>
        <w:jc w:val="left"/>
      </w:pPr>
      <w:r>
        <w:rPr>
          <w:rFonts w:ascii="맑은 고딕" w:hAnsi="맑은 고딕" w:eastAsia="맑은 고딕"/>
          <w:b w:val="0"/>
          <w:i w:val="0"/>
          <w:color w:val="1A1A1A"/>
          <w:sz w:val="22"/>
        </w:rPr>
        <w:t>이는 다음과는 다르다.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메모리 산업 전체 수요가 공급보다 50% 많다.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확정 수주가 생산능력의 150%다.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모든 DRAM·NAND 제품의 수급 부족률이 50%다.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표현</w:t>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정의</w:t>
            </w:r>
          </w:p>
        </w:tc>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오독하면</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구매 요구량 ≈ 확약 가능 물량의 150%</w:t>
            </w:r>
          </w:p>
        </w:tc>
        <w:tc>
          <w:tcPr>
            <w:tcW w:type="dxa" w:w="351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사고 싶다고 하는 물량</w:t>
            </w:r>
          </w:p>
          <w:p>
            <w:pPr>
              <w:spacing w:before="0" w:after="0" w:line="269" w:lineRule="auto"/>
              <w:jc w:val="center"/>
            </w:pPr>
            <w:r>
              <w:rPr>
                <w:rFonts w:ascii="맑은 고딕" w:hAnsi="맑은 고딕" w:eastAsia="맑은 고딕"/>
                <w:b w:val="0"/>
                <w:i w:val="0"/>
                <w:color w:val="1A1A1A"/>
                <w:sz w:val="19"/>
              </w:rPr>
              <w:t>÷ 지금 commit 가능한 물량</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수주잔고가 이미 1.5배</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수요가 공급을 약 50% 초과</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위와 같은 말의 다른 표현</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산업 전체 공급부족률 50%</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공급을 확약할 수 있는 물량</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병목 안에서 실제로 commit 가능한 용량</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명목 CAPA 전부가 소진</w:t>
            </w:r>
          </w:p>
        </w:tc>
      </w:tr>
    </w:tbl>
    <w:p>
      <w:pPr>
        <w:spacing w:after="160" w:before="40"/>
      </w:pPr>
    </w:p>
    <w:p>
      <w:pPr>
        <w:spacing w:after="120" w:before="0" w:line="283" w:lineRule="auto"/>
        <w:jc w:val="left"/>
      </w:pPr>
      <w:r>
        <w:rPr>
          <w:rFonts w:ascii="맑은 고딕" w:hAnsi="맑은 고딕" w:eastAsia="맑은 고딕"/>
          <w:b w:val="0"/>
          <w:i w:val="0"/>
          <w:color w:val="1A1A1A"/>
          <w:sz w:val="22"/>
        </w:rPr>
        <w:t>즉 150%는 강한 고객 구매의향을 보여주는 경영진 발언이다. 산업 전체의 정량적 공급부족률이나 법적 확정 주문잔고가 아니다. 특정 1~2개 초대형 고객의 희망 수량일 가능성과, 데이터센터 고객 전반의 이야기일 가능성을 아직 나눠 봐야 한다.</w:t>
      </w:r>
    </w:p>
    <w:p>
      <w:pPr>
        <w:spacing w:before="200" w:after="80"/>
      </w:pPr>
      <w:r>
        <w:rPr>
          <w:rFonts w:ascii="맑은 고딕" w:hAnsi="맑은 고딕" w:eastAsia="맑은 고딕"/>
          <w:b/>
          <w:i w:val="0"/>
          <w:color w:val="1E407C"/>
          <w:sz w:val="26"/>
        </w:rPr>
        <w:t>2-2. 실제로 더 강한 근거는 16개 SCA</w:t>
      </w:r>
    </w:p>
    <w:p>
      <w:pPr>
        <w:spacing w:after="120" w:before="0" w:line="283" w:lineRule="auto"/>
        <w:jc w:val="left"/>
      </w:pPr>
      <w:r>
        <w:rPr>
          <w:rFonts w:ascii="맑은 고딕" w:hAnsi="맑은 고딕" w:eastAsia="맑은 고딕"/>
          <w:b w:val="0"/>
          <w:i w:val="0"/>
          <w:color w:val="1A1A1A"/>
          <w:sz w:val="22"/>
        </w:rPr>
        <w:t>마이크론은 2026년 6월 실적에서 16개 전략적 고객계약(SCA)을 공개했다. Reuters 보도 기준 고객 약정은 약 220억 달러, 잔여계약의무(RPO)는 약 1,000억 달러다. 계약에는 take-or-pay, 현금예치, 가격하한이 포함됐다. 마이크론도 다년계약이 실적의 지속성과 예측 가능성을 높일 것이라고 공식적으로 설명했다.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공개 수치</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해석</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SCA 수</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16개 (이후 추가 체결 언급)</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데이터센터·컨슈머·전장 포함</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현금·금융 약정</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220억 달러</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선급금·예치로 공급을 예약</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잔여계약의무</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1,000억 달러</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최소물량 × 최소가격의 보수적 하한</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계약 장치</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take-or-pay · 현금예치 · 가격하한</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공급자에게 유리한 조건</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경영진 설명</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지속성·예측 가능성 상승</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스팟 의존에서 예약 공급으로</w:t>
            </w:r>
          </w:p>
        </w:tc>
      </w:tr>
    </w:tbl>
    <w:p>
      <w:pPr>
        <w:spacing w:after="160" w:before="40"/>
      </w:pPr>
    </w:p>
    <w:p>
      <w:pPr>
        <w:spacing w:after="120" w:before="0" w:line="283" w:lineRule="auto"/>
        <w:jc w:val="left"/>
      </w:pPr>
      <w:r>
        <w:rPr>
          <w:rFonts w:ascii="맑은 고딕" w:hAnsi="맑은 고딕" w:eastAsia="맑은 고딕"/>
          <w:b w:val="0"/>
          <w:i w:val="0"/>
          <w:color w:val="1A1A1A"/>
          <w:sz w:val="22"/>
        </w:rPr>
        <w:t>이 구조가 중요한 이유는 조달 경로 자체가 바뀌기 때문이다.</w:t>
      </w:r>
    </w:p>
    <w:p>
      <w:pPr>
        <w:spacing w:after="40" w:before="0" w:line="283" w:lineRule="auto"/>
        <w:jc w:val="left"/>
      </w:pPr>
      <w:r>
        <w:rPr>
          <w:rFonts w:ascii="맑은 고딕" w:hAnsi="맑은 고딕" w:eastAsia="맑은 고딕"/>
          <w:b/>
          <w:i w:val="0"/>
          <w:color w:val="1A1A1A"/>
          <w:sz w:val="22"/>
        </w:rPr>
        <w:t>과거 범용 메모리</w:t>
      </w:r>
    </w:p>
    <w:p>
      <w:pPr>
        <w:spacing w:before="80" w:after="160" w:line="288" w:lineRule="auto"/>
        <w:jc w:val="center"/>
      </w:pPr>
      <w:r>
        <w:rPr>
          <w:rFonts w:ascii="맑은 고딕" w:hAnsi="맑은 고딕" w:eastAsia="맑은 고딕"/>
          <w:b/>
          <w:i w:val="0"/>
          <w:color w:val="0F2043"/>
          <w:sz w:val="22"/>
        </w:rPr>
        <w:t>단기 가격입찰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고객 재고조정</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공급사 증설 경쟁</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공급과잉·가격 붕괴</w:t>
      </w:r>
    </w:p>
    <w:p>
      <w:pPr>
        <w:spacing w:after="40" w:before="0" w:line="283" w:lineRule="auto"/>
        <w:jc w:val="left"/>
      </w:pPr>
      <w:r>
        <w:rPr>
          <w:rFonts w:ascii="맑은 고딕" w:hAnsi="맑은 고딕" w:eastAsia="맑은 고딕"/>
          <w:b/>
          <w:i w:val="0"/>
          <w:color w:val="1A1A1A"/>
          <w:sz w:val="22"/>
        </w:rPr>
        <w:t>AI 메모리</w:t>
      </w:r>
    </w:p>
    <w:p>
      <w:pPr>
        <w:spacing w:before="80" w:after="160" w:line="288" w:lineRule="auto"/>
        <w:jc w:val="center"/>
      </w:pPr>
      <w:r>
        <w:rPr>
          <w:rFonts w:ascii="맑은 고딕" w:hAnsi="맑은 고딕" w:eastAsia="맑은 고딕"/>
          <w:b/>
          <w:i w:val="0"/>
          <w:color w:val="0F2043"/>
          <w:sz w:val="22"/>
        </w:rPr>
        <w:t>제품 초기 설계·인증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장기 SCA·용량 예약</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선급금·Take-or-pay·가격하한</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수요 가시성·투자 회수 가능성 상승</w:t>
      </w:r>
    </w:p>
    <w:p>
      <w:pPr>
        <w:spacing w:after="120" w:before="0" w:line="283" w:lineRule="auto"/>
        <w:jc w:val="left"/>
      </w:pPr>
      <w:r>
        <w:rPr>
          <w:rFonts w:ascii="맑은 고딕" w:hAnsi="맑은 고딕" w:eastAsia="맑은 고딕"/>
          <w:b w:val="0"/>
          <w:i w:val="0"/>
          <w:color w:val="1A1A1A"/>
          <w:sz w:val="22"/>
        </w:rPr>
        <w:t>따라서 Memory Supplier → Strategic Partner라는 표현은 투자 프레임으로 적절하다. 그러나 “메모리 사이클이 완전히 사라졌다”는 결론은 지나치다. 장기계약은 사이클을 제거하는 것이 아니라, 다음 경로로 진폭을 줄이고 시점을 늦추는 완충재다.</w:t>
      </w:r>
    </w:p>
    <w:p>
      <w:pPr>
        <w:spacing w:before="80" w:after="160" w:line="288" w:lineRule="auto"/>
        <w:jc w:val="center"/>
      </w:pPr>
      <w:r>
        <w:rPr>
          <w:rFonts w:ascii="맑은 고딕" w:hAnsi="맑은 고딕" w:eastAsia="맑은 고딕"/>
          <w:b/>
          <w:i w:val="0"/>
          <w:color w:val="0F2043"/>
          <w:sz w:val="20"/>
        </w:rPr>
        <w:t>AI 최종수요 둔화</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CSP 투자수익률 하락</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GPU·서버 증설 둔화</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재협상·신규계약 축소</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신규 Fab CAPA 유입</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가격협상력 약화</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해석 주의</w:t>
            </w:r>
          </w:p>
          <w:p>
            <w:pPr>
              <w:spacing w:after="20" w:before="0" w:line="276" w:lineRule="auto"/>
            </w:pPr>
            <w:r>
              <w:rPr>
                <w:rFonts w:ascii="맑은 고딕" w:hAnsi="맑은 고딕" w:eastAsia="맑은 고딕"/>
                <w:b w:val="0"/>
                <w:i w:val="0"/>
                <w:color w:val="1A1A1A"/>
                <w:sz w:val="21"/>
              </w:rPr>
              <w:t>150%는 한 시점의 질적 발언이다. 교차검증 창은 다음 분기 할당 발언과 NVIDIA 실적이다.</w:t>
            </w:r>
          </w:p>
          <w:p>
            <w:pPr>
              <w:spacing w:after="20" w:before="0" w:line="276" w:lineRule="auto"/>
            </w:pPr>
            <w:r>
              <w:rPr>
                <w:rFonts w:ascii="맑은 고딕" w:hAnsi="맑은 고딕" w:eastAsia="맑은 고딕"/>
                <w:b w:val="0"/>
                <w:i w:val="0"/>
                <w:color w:val="1A1A1A"/>
                <w:sz w:val="21"/>
              </w:rPr>
              <w:t>RPO 1,000억 달러는 최소 조건의 합이다. 실제 매출이 그 숫자와 같다는 뜻이 아니다.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III.  </w:t>
      </w:r>
      <w:r>
        <w:rPr>
          <w:rFonts w:ascii="맑은 고딕" w:hAnsi="맑은 고딕" w:eastAsia="맑은 고딕"/>
          <w:b/>
          <w:i w:val="0"/>
          <w:color w:val="0F2043"/>
          <w:sz w:val="32"/>
        </w:rPr>
        <w:t>HBF — HBM 대체재보다 메모리 계층 확장</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HBF는 HBM과 SSD 사이에 두는 NAND 기반 계층이다. 방향상 시장 확대 해석이 맞다.</w:t>
            </w:r>
          </w:p>
          <w:p>
            <w:pPr>
              <w:spacing w:after="20" w:before="0" w:line="276" w:lineRule="auto"/>
            </w:pPr>
            <w:r>
              <w:rPr>
                <w:rFonts w:ascii="맑은 고딕" w:hAnsi="맑은 고딕" w:eastAsia="맑은 고딕"/>
                <w:b w:val="0"/>
                <w:i w:val="0"/>
                <w:color w:val="1A1A1A"/>
                <w:sz w:val="21"/>
              </w:rPr>
              <w:t>자기잠식이 전혀 없다고 쓰면 안 된다. 일부 HBM 대체를 감수하고 더 큰 HBF·NAND 시장을 선점하는 포트폴리오 전략이다.</w:t>
            </w:r>
          </w:p>
        </w:tc>
      </w:tr>
    </w:tbl>
    <w:p>
      <w:pPr>
        <w:spacing w:after="120"/>
      </w:pPr>
    </w:p>
    <w:p>
      <w:pPr>
        <w:spacing w:after="120" w:before="0" w:line="283" w:lineRule="auto"/>
        <w:jc w:val="left"/>
      </w:pPr>
      <w:r>
        <w:rPr>
          <w:rFonts w:ascii="맑은 고딕" w:hAnsi="맑은 고딕" w:eastAsia="맑은 고딕"/>
          <w:b w:val="0"/>
          <w:i w:val="0"/>
          <w:color w:val="1A1A1A"/>
          <w:sz w:val="22"/>
        </w:rPr>
        <w:t>SK하이닉스와 샌디스크가 OCP를 통해 공개한 HBF(High Bandwidth Flash) 표준은 HBM과 SSD 사이에 새로운 메모리 계층을 두는 구조다. 공식 사양은 최대 512GB, 대역폭은 Grade 1~3 기준으로 약 0.4~3.0TB/s다. NAND 기반의 대용량과 HBM에 가까운 데이터 접근성을 동시에 추구한다. 출처는 SK hynix Newsroom, FMS 2026이다.</w:t>
      </w:r>
    </w:p>
    <w:p>
      <w:pPr>
        <w:spacing w:after="40" w:before="0" w:line="283" w:lineRule="auto"/>
        <w:jc w:val="center"/>
      </w:pPr>
      <w:r>
        <w:rPr>
          <w:rFonts w:ascii="맑은 고딕" w:hAnsi="맑은 고딕" w:eastAsia="맑은 고딕"/>
          <w:b/>
          <w:i w:val="0"/>
          <w:color w:val="1A1A1A"/>
          <w:sz w:val="22"/>
        </w:rPr>
        <w:t>빠름 · 고가 · 저용량</w:t>
      </w:r>
    </w:p>
    <w:p>
      <w:pPr>
        <w:spacing w:before="80" w:after="160" w:line="288" w:lineRule="auto"/>
        <w:jc w:val="center"/>
      </w:pPr>
      <w:r>
        <w:rPr>
          <w:rFonts w:ascii="맑은 고딕" w:hAnsi="맑은 고딕" w:eastAsia="맑은 고딕"/>
          <w:b/>
          <w:i w:val="0"/>
          <w:color w:val="0F2043"/>
          <w:sz w:val="22"/>
        </w:rPr>
        <w:t>HBM  ·  Hot data, 즉시 연산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HBF  ·  대용량 추론·KV cache</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NVMe SSD  ·  콜드 스토리지</w:t>
      </w:r>
    </w:p>
    <w:p>
      <w:pPr>
        <w:spacing w:after="160" w:before="0" w:line="283" w:lineRule="auto"/>
        <w:jc w:val="center"/>
      </w:pPr>
      <w:r>
        <w:rPr>
          <w:rFonts w:ascii="맑은 고딕" w:hAnsi="맑은 고딕" w:eastAsia="맑은 고딕"/>
          <w:b/>
          <w:i w:val="0"/>
          <w:color w:val="1A1A1A"/>
          <w:sz w:val="22"/>
        </w:rPr>
        <w:t>느림 · 저가 · 대용량</w:t>
      </w:r>
    </w:p>
    <w:p>
      <w:pPr>
        <w:spacing w:before="160" w:after="60"/>
      </w:pPr>
      <w:r>
        <w:rPr>
          <w:rFonts w:ascii="맑은 고딕" w:hAnsi="맑은 고딕" w:eastAsia="맑은 고딕"/>
          <w:b/>
          <w:i w:val="0"/>
          <w:color w:val="0F2043"/>
          <w:sz w:val="23"/>
        </w:rPr>
        <w:t>맞는 부분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HBF가 AI 추론의 메모리 비용을 낮추면 더 큰 모델·컨텍스트·서비스를 운영할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SK하이닉스는 HBM뿐 아니라 NAND 기반 HBF까지 공급해 고객의 전체 AI 메모리 지출을 확보할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특정 기술에 대한 자기잠식보다 전체 메모리 계층을 장악하는 것이 장기적으로 유리하다.</w:t>
      </w:r>
    </w:p>
    <w:p>
      <w:pPr>
        <w:spacing w:before="160" w:after="60"/>
      </w:pPr>
      <w:r>
        <w:rPr>
          <w:rFonts w:ascii="맑은 고딕" w:hAnsi="맑은 고딕" w:eastAsia="맑은 고딕"/>
          <w:b/>
          <w:i w:val="0"/>
          <w:color w:val="0F2043"/>
          <w:sz w:val="23"/>
        </w:rPr>
        <w:t>남아 있는 자기잠식 가능성</w:t>
      </w:r>
    </w:p>
    <w:p>
      <w:pPr>
        <w:spacing w:after="120" w:before="0" w:line="283" w:lineRule="auto"/>
        <w:jc w:val="left"/>
      </w:pPr>
      <w:r>
        <w:rPr>
          <w:rFonts w:ascii="맑은 고딕" w:hAnsi="맑은 고딕" w:eastAsia="맑은 고딕"/>
          <w:b w:val="0"/>
          <w:i w:val="0"/>
          <w:color w:val="1A1A1A"/>
          <w:sz w:val="22"/>
        </w:rPr>
        <w:t>기존에 HBM에 저장하던 일부 용량 중심 데이터를 HBF로 넘기면, GPU당 HBM 필요용량이나 HBM 증설 속도가 낮아질 수 있다. 따라서 “자기잠식이 전혀 없다”가 아니라, 일부 HBM 대체를 감수하고 더 큰 HBF·NAND 시장을 선점하는 포트폴리오 전략으로 보는 편이 정확하다.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현재 단계</w:t>
            </w:r>
          </w:p>
          <w:p>
            <w:pPr>
              <w:spacing w:after="20" w:before="0" w:line="276" w:lineRule="auto"/>
            </w:pPr>
            <w:r>
              <w:rPr>
                <w:rFonts w:ascii="맑은 고딕" w:hAnsi="맑은 고딕" w:eastAsia="맑은 고딕"/>
                <w:b w:val="0"/>
                <w:i w:val="0"/>
                <w:color w:val="1A1A1A"/>
                <w:sz w:val="21"/>
              </w:rPr>
              <w:t>지금은 표준·생태계 확장 단계다. 단기 실적보다 기술채택, 컨트롤러·소프트웨어 지원, 실제 GPU·CPU 연결이 핵심이다.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IV.  </w:t>
      </w:r>
      <w:r>
        <w:rPr>
          <w:rFonts w:ascii="맑은 고딕" w:hAnsi="맑은 고딕" w:eastAsia="맑은 고딕"/>
          <w:b/>
          <w:i w:val="0"/>
          <w:color w:val="0F2043"/>
          <w:sz w:val="32"/>
        </w:rPr>
        <w:t>NVIDIA 서버 가격 — 메모리에는 긍정, 대수에는 양면</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게시용 수정 문안</w:t>
            </w:r>
          </w:p>
          <w:p>
            <w:pPr>
              <w:spacing w:after="20" w:before="0" w:line="276" w:lineRule="auto"/>
            </w:pPr>
            <w:r>
              <w:rPr>
                <w:rFonts w:ascii="맑은 고딕" w:hAnsi="맑은 고딕" w:eastAsia="맑은 고딕"/>
                <w:b w:val="0"/>
                <w:i w:val="0"/>
                <w:color w:val="1A1A1A"/>
                <w:sz w:val="21"/>
              </w:rPr>
              <w:t>보도된 내용은 NVIDIA GPU 자체의 ASP가 15% 오른다는 것이 아니다.</w:t>
            </w:r>
          </w:p>
          <w:p>
            <w:pPr>
              <w:spacing w:after="20" w:before="0" w:line="276" w:lineRule="auto"/>
            </w:pPr>
            <w:r>
              <w:rPr>
                <w:rFonts w:ascii="맑은 고딕" w:hAnsi="맑은 고딕" w:eastAsia="맑은 고딕"/>
                <w:b w:val="0"/>
                <w:i w:val="0"/>
                <w:color w:val="1A1A1A"/>
                <w:sz w:val="21"/>
              </w:rPr>
              <w:t>NVIDIA AI 칩이 탑재된 서버 시스템 가격이 메모리 비용 상승으로 많은 경우 15% 이상 오를 수 있다는 것이다.</w:t>
            </w:r>
          </w:p>
          <w:p>
            <w:pPr>
              <w:spacing w:after="20" w:before="0" w:line="276" w:lineRule="auto"/>
            </w:pPr>
            <w:r>
              <w:rPr>
                <w:rFonts w:ascii="맑은 고딕" w:hAnsi="맑은 고딕" w:eastAsia="맑은 고딕"/>
                <w:b w:val="0"/>
                <w:i w:val="0"/>
                <w:color w:val="1A1A1A"/>
                <w:sz w:val="21"/>
              </w:rPr>
              <w:t>Vera Rubin·Grace Blackwell 시스템이 포함될 수 있고, 인상률은 세대와 메모리 구성에 따라 다르다.</w:t>
            </w:r>
          </w:p>
          <w:p>
            <w:pPr>
              <w:spacing w:after="20" w:before="0" w:line="276" w:lineRule="auto"/>
            </w:pPr>
            <w:r>
              <w:rPr>
                <w:rFonts w:ascii="맑은 고딕" w:hAnsi="맑은 고딕" w:eastAsia="맑은 고딕"/>
                <w:b w:val="0"/>
                <w:i w:val="0"/>
                <w:color w:val="1A1A1A"/>
                <w:sz w:val="21"/>
              </w:rPr>
              <w:t>Bloomberg 인용 보도이며 Reuters도 독립적으로 확인하지 못했고, NVIDIA의 공식 확인도 없었다.</w:t>
            </w:r>
          </w:p>
        </w:tc>
      </w:tr>
    </w:tbl>
    <w:p>
      <w:pPr>
        <w:spacing w:after="120"/>
      </w:pPr>
    </w:p>
    <w:p>
      <w:pPr>
        <w:spacing w:after="120" w:before="0" w:line="283" w:lineRule="auto"/>
        <w:jc w:val="left"/>
      </w:pPr>
      <w:r>
        <w:rPr>
          <w:rFonts w:ascii="맑은 고딕" w:hAnsi="맑은 고딕" w:eastAsia="맑은 고딕"/>
          <w:b w:val="0"/>
          <w:i w:val="0"/>
          <w:color w:val="1A1A1A"/>
          <w:sz w:val="22"/>
        </w:rPr>
        <w:t>2026년 8월 22일 Bloomberg는 일부 대형 고객에게, NVIDIA AI 칩을 담은 서버 가격이 많은 경우 15% 이상 오를 수 있다고 통보됐다고 보도했다. 적용 시점은 내년 초 출하분이며, 서버 제조사가 Microsoft·Google·Oracle 같은 데이터센터 고객에게 알렸다는 취지다. Reuters는 이 보도를 중계하면서 독립 검증을 하지 못했다고 밝혔다.</w:t>
      </w:r>
    </w:p>
    <w:p>
      <w:pPr>
        <w:spacing w:before="200" w:after="80"/>
      </w:pPr>
      <w:r>
        <w:rPr>
          <w:rFonts w:ascii="맑은 고딕" w:hAnsi="맑은 고딕" w:eastAsia="맑은 고딕"/>
          <w:b/>
          <w:i w:val="0"/>
          <w:color w:val="1E407C"/>
          <w:sz w:val="26"/>
        </w:rPr>
        <w:t>4-1. 메모리 업체 — 강한 긍정 신호</w:t>
      </w:r>
    </w:p>
    <w:p>
      <w:pPr>
        <w:spacing w:after="120" w:before="0" w:line="283" w:lineRule="auto"/>
        <w:jc w:val="left"/>
      </w:pPr>
      <w:r>
        <w:rPr>
          <w:rFonts w:ascii="맑은 고딕" w:hAnsi="맑은 고딕" w:eastAsia="맑은 고딕"/>
          <w:b w:val="0"/>
          <w:i w:val="0"/>
          <w:color w:val="1A1A1A"/>
          <w:sz w:val="22"/>
        </w:rPr>
        <w:t>서버업체가 고객에게 가격 인상을 통보할 정도라면 다음을 시사한다.</w:t>
      </w:r>
    </w:p>
    <w:p>
      <w:pPr>
        <w:spacing w:before="80" w:after="160" w:line="288" w:lineRule="auto"/>
        <w:jc w:val="center"/>
      </w:pPr>
      <w:r>
        <w:rPr>
          <w:rFonts w:ascii="맑은 고딕" w:hAnsi="맑은 고딕" w:eastAsia="맑은 고딕"/>
          <w:b/>
          <w:i w:val="0"/>
          <w:color w:val="0F2043"/>
          <w:sz w:val="22"/>
        </w:rPr>
        <w:t>메모리 BOM 상승</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시스템 가격에 전가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공급사 가격협상력 확인</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HBM·서버 DRAM·eSSD 이익 상향 가능성</w:t>
      </w:r>
    </w:p>
    <w:p>
      <w:pPr>
        <w:spacing w:before="200" w:after="80"/>
      </w:pPr>
      <w:r>
        <w:rPr>
          <w:rFonts w:ascii="맑은 고딕" w:hAnsi="맑은 고딕" w:eastAsia="맑은 고딕"/>
          <w:b/>
          <w:i w:val="0"/>
          <w:color w:val="1E407C"/>
          <w:sz w:val="26"/>
        </w:rPr>
        <w:t>4-2. NVIDIA·CSP — P×Q의 문제</w:t>
      </w:r>
    </w:p>
    <w:p>
      <w:pPr>
        <w:spacing w:after="120" w:before="0" w:line="283" w:lineRule="auto"/>
        <w:jc w:val="left"/>
      </w:pPr>
      <w:r>
        <w:rPr>
          <w:rFonts w:ascii="맑은 고딕" w:hAnsi="맑은 고딕" w:eastAsia="맑은 고딕"/>
          <w:b w:val="0"/>
          <w:i w:val="0"/>
          <w:color w:val="1A1A1A"/>
          <w:sz w:val="22"/>
        </w:rPr>
        <w:t>고객의 AI CAPEX가 고정되어 있다고 단순 가정하면, 시스템 가격이 15% 오를 때 같은 예산으로 살 수 있는 서버 수는 1/1.15 − 1 = −13.0%다. 약 13% 감소다.</w:t>
      </w:r>
    </w:p>
    <w:p>
      <w:pPr>
        <w:spacing w:after="120" w:before="0" w:line="283" w:lineRule="auto"/>
        <w:jc w:val="left"/>
      </w:pPr>
      <w:r>
        <w:rPr>
          <w:rFonts w:ascii="맑은 고딕" w:hAnsi="맑은 고딕" w:eastAsia="맑은 고딕"/>
          <w:b w:val="0"/>
          <w:i w:val="0"/>
          <w:color w:val="1A1A1A"/>
          <w:sz w:val="22"/>
        </w:rPr>
        <w:t>실제로는 CSP가 CAPEX를 증액할 수 있으므로 이것이 출하량 전망은 아니다. 다만 투자 관점에서는 다음을 분리해야 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시나리오</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c>
          <w:tcPr>
            <w:tcW w:type="dxa" w:w="328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해석</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 가격전가 성공</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BOM 상승이 시스템 가격으로 이전</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공급사에 긍정</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CSP가 AI 예산도 함께 증액</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P와 Q가 같이 유지·확대</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전체 생태계 긍정</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예산은 고정, 서버 가격만 상승</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같은 돈으로 사는 대수가 감소</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서버·GPU 대수에는 부정</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V.  </w:t>
      </w:r>
      <w:r>
        <w:rPr>
          <w:rFonts w:ascii="맑은 고딕" w:hAnsi="맑은 고딕" w:eastAsia="맑은 고딕"/>
          <w:b/>
          <w:i w:val="0"/>
          <w:color w:val="0F2043"/>
          <w:sz w:val="32"/>
        </w:rPr>
        <w:t>Apple–CXMT·YMTC — 지금 투자 근거로 쓰기 어려운 루머</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이 장의 결론</w:t>
            </w:r>
          </w:p>
          <w:p>
            <w:pPr>
              <w:spacing w:after="20" w:before="0" w:line="276" w:lineRule="auto"/>
            </w:pPr>
            <w:r>
              <w:rPr>
                <w:rFonts w:ascii="맑은 고딕" w:hAnsi="맑은 고딕" w:eastAsia="맑은 고딕"/>
                <w:b w:val="0"/>
                <w:i w:val="0"/>
                <w:color w:val="1A1A1A"/>
                <w:sz w:val="21"/>
              </w:rPr>
              <w:t>Wccftech는 웨이보 계정(Mobile Chip Expert)을 인용해 미 행정부가 Trump–Xi 회담 후 Apple의 중국 메모리 구매를 허용할 수 있다고 썼다.</w:t>
            </w:r>
          </w:p>
          <w:p>
            <w:pPr>
              <w:spacing w:after="20" w:before="0" w:line="276" w:lineRule="auto"/>
            </w:pPr>
            <w:r>
              <w:rPr>
                <w:rFonts w:ascii="맑은 고딕" w:hAnsi="맑은 고딕" w:eastAsia="맑은 고딕"/>
                <w:b w:val="0"/>
                <w:i w:val="0"/>
                <w:color w:val="1A1A1A"/>
                <w:sz w:val="21"/>
              </w:rPr>
              <w:t>매체 스스로 신빙성을 60% ‘Plausible’로 평가했다.</w:t>
            </w:r>
          </w:p>
          <w:p>
            <w:pPr>
              <w:spacing w:after="20" w:before="0" w:line="276" w:lineRule="auto"/>
            </w:pPr>
            <w:r>
              <w:rPr>
                <w:rFonts w:ascii="맑은 고딕" w:hAnsi="맑은 고딕" w:eastAsia="맑은 고딕"/>
                <w:b w:val="0"/>
                <w:i w:val="0"/>
                <w:color w:val="1A1A1A"/>
                <w:sz w:val="21"/>
              </w:rPr>
              <w:t>공개된 상위 신뢰도 자료는 아직 반대 방향이다. WSJ는 상무장관이 Apple에 중국산 메모리를 쓰지 말라고 요구했다고 보도했다.</w:t>
            </w:r>
          </w:p>
          <w:p>
            <w:pPr>
              <w:spacing w:after="20" w:before="0" w:line="276" w:lineRule="auto"/>
            </w:pPr>
            <w:r>
              <w:rPr>
                <w:rFonts w:ascii="맑은 고딕" w:hAnsi="맑은 고딕" w:eastAsia="맑은 고딕"/>
                <w:b w:val="0"/>
                <w:i w:val="0"/>
                <w:color w:val="1A1A1A"/>
                <w:sz w:val="21"/>
              </w:rPr>
              <w:t>따라서 ‘승인 예정’보다, Apple이 중국 판매 제품에 중국산 메모리를 검토하지만 워싱턴의 정치적 반대가 크다는 상태가 더 정확하다.</w:t>
            </w:r>
          </w:p>
        </w:tc>
      </w:tr>
    </w:tbl>
    <w:p>
      <w:pPr>
        <w:spacing w:after="120"/>
      </w:pPr>
    </w:p>
    <w:p>
      <w:pPr>
        <w:spacing w:after="120" w:before="0" w:line="283" w:lineRule="auto"/>
        <w:jc w:val="left"/>
      </w:pPr>
      <w:r>
        <w:rPr>
          <w:rFonts w:ascii="맑은 고딕" w:hAnsi="맑은 고딕" w:eastAsia="맑은 고딕"/>
          <w:b w:val="0"/>
          <w:i w:val="0"/>
          <w:color w:val="1A1A1A"/>
          <w:sz w:val="22"/>
        </w:rPr>
        <w:t>Apple이 CXMT DRAM과 YMTC NAND를 중국 판매용으로 테스트·검토하고 있다는 쪽은 FT·Bloomberg 계열 보도와 맞닿아 있다. 문제는 ‘트럼프가 승인할 예정’이라는 문장이다. 그 문장의 출처는 웨이보 루머이며, 공식 발표가 아니다.</w:t>
      </w:r>
    </w:p>
    <w:p>
      <w:pPr>
        <w:spacing w:after="120" w:before="0" w:line="283" w:lineRule="auto"/>
        <w:jc w:val="left"/>
      </w:pPr>
      <w:r>
        <w:rPr>
          <w:rFonts w:ascii="맑은 고딕" w:hAnsi="맑은 고딕" w:eastAsia="맑은 고딕"/>
          <w:b w:val="0"/>
          <w:i w:val="0"/>
          <w:color w:val="1A1A1A"/>
          <w:sz w:val="22"/>
        </w:rPr>
        <w:t>회담 일정은 보도마다 ‘올가을’과 ‘9월 24일’이 혼재한다. 투자에서 중요한 것은 날짜가 아니라, 승인 루머를 삼성전자·SK하이닉스 매도 근거로 쓰면 안 된다는 점이다.</w:t>
      </w:r>
    </w:p>
    <w:p>
      <w:pPr>
        <w:spacing w:before="200" w:after="80"/>
      </w:pPr>
      <w:r>
        <w:rPr>
          <w:rFonts w:ascii="맑은 고딕" w:hAnsi="맑은 고딕" w:eastAsia="맑은 고딕"/>
          <w:b/>
          <w:i w:val="0"/>
          <w:color w:val="1E407C"/>
          <w:sz w:val="26"/>
        </w:rPr>
        <w:t>5-1. 투자 판단 순서</w:t>
      </w:r>
    </w:p>
    <w:p>
      <w:pPr>
        <w:spacing w:after="120" w:before="0" w:line="283" w:lineRule="auto"/>
        <w:jc w:val="left"/>
      </w:pPr>
      <w:r>
        <w:rPr>
          <w:rFonts w:ascii="맑은 고딕" w:hAnsi="맑은 고딕" w:eastAsia="맑은 고딕"/>
          <w:b w:val="0"/>
          <w:i w:val="0"/>
          <w:color w:val="1A1A1A"/>
          <w:sz w:val="22"/>
        </w:rPr>
        <w:t>네 단계는 좋다. 마지막을 두 갈래로 나누는 것이 핵심이다.</w:t>
      </w:r>
    </w:p>
    <w:p>
      <w:pPr>
        <w:spacing w:before="80" w:after="160" w:line="288" w:lineRule="auto"/>
        <w:jc w:val="center"/>
      </w:pPr>
      <w:r>
        <w:rPr>
          <w:rFonts w:ascii="맑은 고딕" w:hAnsi="맑은 고딕" w:eastAsia="맑은 고딕"/>
          <w:b/>
          <w:i w:val="0"/>
          <w:color w:val="0F2043"/>
          <w:sz w:val="20"/>
        </w:rPr>
        <w:t>① 실제 qualification</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② 중국 판매 제품만인가</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③ 발주량·점유율</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④-A Apple 한정 정치 승인</w:t>
      </w:r>
      <w:r>
        <w:rPr>
          <w:rFonts w:ascii="맑은 고딕" w:hAnsi="맑은 고딕" w:eastAsia="맑은 고딕"/>
          <w:b/>
          <w:i w:val="0"/>
          <w:color w:val="B8943A"/>
          <w:sz w:val="20"/>
        </w:rPr>
        <w:t xml:space="preserve">   →   </w:t>
      </w:r>
      <w:r>
        <w:rPr>
          <w:rFonts w:ascii="맑은 고딕" w:hAnsi="맑은 고딕" w:eastAsia="맑은 고딕"/>
          <w:b/>
          <w:i w:val="0"/>
          <w:color w:val="0F2043"/>
          <w:sz w:val="20"/>
        </w:rPr>
        <w:t>④-B 광범위한 제재 완화</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사건</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삼성전자·SK하이닉스 영향</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단순 테스트</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심리적 노이즈</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중국 판매용 일부 채택</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제한적 물량·가격 압박</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Apple 글로벌 기기 확대</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중기 경쟁 심화</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미국의 광범위한 규제 완화</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구조적 공급 경쟁 심화</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CXMT·YMTC의 글로벌 고객 대량 확보</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멀티플 하락 요인</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진짜 매도 신호</w:t>
            </w:r>
          </w:p>
          <w:p>
            <w:pPr>
              <w:spacing w:after="20" w:before="0" w:line="276" w:lineRule="auto"/>
            </w:pPr>
            <w:r>
              <w:rPr>
                <w:rFonts w:ascii="맑은 고딕" w:hAnsi="맑은 고딕" w:eastAsia="맑은 고딕"/>
                <w:b w:val="0"/>
                <w:i w:val="0"/>
                <w:color w:val="1A1A1A"/>
                <w:sz w:val="21"/>
              </w:rPr>
              <w:t>Apple 한정 허용이 아니라 ④-B의 광범위한 규제 완화다. 공식 발표 전에는 시나리오 분기점으로만 관리한다.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VI.  </w:t>
      </w:r>
      <w:r>
        <w:rPr>
          <w:rFonts w:ascii="맑은 고딕" w:hAnsi="맑은 고딕" w:eastAsia="맑은 고딕"/>
          <w:b/>
          <w:i w:val="0"/>
          <w:color w:val="0F2043"/>
          <w:sz w:val="32"/>
        </w:rPr>
        <w:t>DRAM 모듈과 MCP — 핵심은 kg당 통관단가</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용어를 먼저 바로잡는다</w:t>
            </w:r>
          </w:p>
          <w:p>
            <w:pPr>
              <w:spacing w:after="20" w:before="0" w:line="276" w:lineRule="auto"/>
            </w:pPr>
            <w:r>
              <w:rPr>
                <w:rFonts w:ascii="맑은 고딕" w:hAnsi="맑은 고딕" w:eastAsia="맑은 고딕"/>
                <w:b w:val="0"/>
                <w:i w:val="0"/>
                <w:color w:val="1A1A1A"/>
                <w:sz w:val="21"/>
              </w:rPr>
              <w:t>MCP = 복수의 메모리 칩을 결합한 패키지·통관 분류 (HS 8542.32.3000).</w:t>
            </w:r>
          </w:p>
          <w:p>
            <w:pPr>
              <w:spacing w:after="20" w:before="0" w:line="276" w:lineRule="auto"/>
            </w:pPr>
            <w:r>
              <w:rPr>
                <w:rFonts w:ascii="맑은 고딕" w:hAnsi="맑은 고딕" w:eastAsia="맑은 고딕"/>
                <w:b w:val="0"/>
                <w:i w:val="0"/>
                <w:color w:val="1A1A1A"/>
                <w:sz w:val="21"/>
              </w:rPr>
              <w:t>HBM = MCP 통계에 포함될 수 있는 특정 고대역폭 적층 메모리.</w:t>
            </w:r>
          </w:p>
          <w:p>
            <w:pPr>
              <w:spacing w:after="20" w:before="0" w:line="276" w:lineRule="auto"/>
            </w:pPr>
            <w:r>
              <w:rPr>
                <w:rFonts w:ascii="맑은 고딕" w:hAnsi="맑은 고딕" w:eastAsia="맑은 고딕"/>
                <w:b w:val="0"/>
                <w:i w:val="0"/>
                <w:color w:val="1A1A1A"/>
                <w:sz w:val="21"/>
              </w:rPr>
              <w:t>DDR5 = DRAM의 세대 규격.</w:t>
            </w:r>
          </w:p>
          <w:p>
            <w:pPr>
              <w:spacing w:after="20" w:before="0" w:line="276" w:lineRule="auto"/>
            </w:pPr>
            <w:r>
              <w:rPr>
                <w:rFonts w:ascii="맑은 고딕" w:hAnsi="맑은 고딕" w:eastAsia="맑은 고딕"/>
                <w:b w:val="0"/>
                <w:i w:val="0"/>
                <w:color w:val="1A1A1A"/>
                <w:sz w:val="21"/>
              </w:rPr>
              <w:t>DRAM 모듈 = DRAM IC + PCB + PMIC·수동부품 등을 결합한 DIMM 등 (HS 8473.30.4060).</w:t>
            </w:r>
          </w:p>
        </w:tc>
      </w:tr>
    </w:tbl>
    <w:p>
      <w:pPr>
        <w:spacing w:after="120"/>
      </w:pPr>
    </w:p>
    <w:p>
      <w:pPr>
        <w:spacing w:after="120" w:before="0" w:line="283" w:lineRule="auto"/>
        <w:jc w:val="left"/>
      </w:pPr>
      <w:r>
        <w:rPr>
          <w:rFonts w:ascii="맑은 고딕" w:hAnsi="맑은 고딕" w:eastAsia="맑은 고딕"/>
          <w:b w:val="0"/>
          <w:i w:val="0"/>
          <w:color w:val="1A1A1A"/>
          <w:sz w:val="22"/>
        </w:rPr>
        <w:t>MCP 통계에는 HBM이 포함되지만 다른 복합 메모리 패키지도 포함된다. 대만향 MCP는 TSMC 패키징 경로 때문에 HBM 추세를 보는 비교적 유용한 proxy다. 그러나 MCP 전체를 HBM 매출이나 HBM 출하량으로 간주할 수는 없다. 이 구간의 ASP는 개별 DIMM·HBM 가격이 아니라 수출금액÷수출중량의 USD/kg 통관단가다. 출처는 머니레시피(TRASS).</w:t>
      </w:r>
    </w:p>
    <w:p>
      <w:pPr>
        <w:spacing w:before="200" w:after="80"/>
      </w:pPr>
      <w:r>
        <w:rPr>
          <w:rFonts w:ascii="맑은 고딕" w:hAnsi="맑은 고딕" w:eastAsia="맑은 고딕"/>
          <w:b/>
          <w:i w:val="0"/>
          <w:color w:val="1E407C"/>
          <w:sz w:val="26"/>
        </w:rPr>
        <w:t>6-1. 8월 1~20일 월간 환산치 분해</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품목</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수출액 MoM</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kg당 통관단가 MoM</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역산 수출중량 MoM</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DRAM 모듈</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−51.4%</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−36.1%</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−23.9%</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 · HBM 포함</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+4.6%</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+10.8%</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−5.6%</w:t>
            </w:r>
          </w:p>
        </w:tc>
      </w:tr>
    </w:tbl>
    <w:p>
      <w:pPr>
        <w:spacing w:after="160" w:before="40"/>
      </w:pPr>
    </w:p>
    <w:p>
      <w:pPr>
        <w:spacing w:after="120" w:before="0" w:line="283" w:lineRule="auto"/>
        <w:jc w:val="left"/>
      </w:pPr>
      <w:r>
        <w:rPr>
          <w:rFonts w:ascii="맑은 고딕" w:hAnsi="맑은 고딕" w:eastAsia="맑은 고딕"/>
          <w:b w:val="0"/>
          <w:i w:val="0"/>
          <w:color w:val="1A1A1A"/>
          <w:sz w:val="22"/>
        </w:rPr>
        <w:t>역산식은 수출중량증감률 = (1+수출액증감률) / (1+kg당단가증감률) − 1 이다. DRAM 모듈은 0.486 / 0.639 − 1 = −23.9%. MCP는 1.046 / 1.108 − 1 = −5.6%.</w:t>
      </w:r>
    </w:p>
    <w:p>
      <w:pPr>
        <w:spacing w:before="80" w:after="40"/>
        <w:jc w:val="center"/>
      </w:pPr>
      <w:r>
        <w:drawing>
          <wp:inline xmlns:a="http://schemas.openxmlformats.org/drawingml/2006/main" xmlns:pic="http://schemas.openxmlformats.org/drawingml/2006/picture">
            <wp:extent cx="5903999" cy="2609225"/>
            <wp:docPr id="2" name="Picture 2"/>
            <wp:cNvGraphicFramePr>
              <a:graphicFrameLocks noChangeAspect="1"/>
            </wp:cNvGraphicFramePr>
            <a:graphic>
              <a:graphicData uri="http://schemas.openxmlformats.org/drawingml/2006/picture">
                <pic:pic>
                  <pic:nvPicPr>
                    <pic:cNvPr id="0" name="20260824_memory_export_decomposition.png"/>
                    <pic:cNvPicPr/>
                  </pic:nvPicPr>
                  <pic:blipFill>
                    <a:blip r:embed="rId12"/>
                    <a:stretch>
                      <a:fillRect/>
                    </a:stretch>
                  </pic:blipFill>
                  <pic:spPr>
                    <a:xfrm>
                      <a:off x="0" y="0"/>
                      <a:ext cx="5903999" cy="2609225"/>
                    </a:xfrm>
                    <a:prstGeom prst="rect"/>
                  </pic:spPr>
                </pic:pic>
              </a:graphicData>
            </a:graphic>
          </wp:inline>
        </w:drawing>
      </w:r>
    </w:p>
    <w:p>
      <w:pPr>
        <w:spacing w:before="0" w:after="200"/>
        <w:jc w:val="center"/>
      </w:pPr>
      <w:r>
        <w:rPr>
          <w:rFonts w:ascii="맑은 고딕" w:hAnsi="맑은 고딕" w:eastAsia="맑은 고딕"/>
          <w:b w:val="0"/>
          <w:i/>
          <w:color w:val="4B5563"/>
          <w:sz w:val="18"/>
        </w:rPr>
        <w:t>그림 2. DRAM 모듈은 단가와 중량이 같이 줄었다. MCP는 단가가 오르고 역산 중량은 줄었다.</w:t>
      </w:r>
    </w:p>
    <w:p>
      <w:pPr>
        <w:spacing w:after="120" w:before="0" w:line="283" w:lineRule="auto"/>
        <w:jc w:val="left"/>
      </w:pPr>
      <w:r>
        <w:rPr>
          <w:rFonts w:ascii="맑은 고딕" w:hAnsi="맑은 고딕" w:eastAsia="맑은 고딕"/>
          <w:b w:val="0"/>
          <w:i w:val="0"/>
          <w:color w:val="1A1A1A"/>
          <w:sz w:val="22"/>
        </w:rPr>
        <w:t>DRAM 모듈 수출액 감소는 단순히 kg당 단가·제품 믹스 때문만이 아니다. 통계상 수출중량 감소도 함께 작용했다. 그러나 수출중량은 DRAM bit shipment, 모듈 개수, 서버 DIMM 수요, DRAM die 고정거래가격과 동일하지 않다. 제품별 중량과 용량이 다르기 때문에 die 가격 하락이나 최종수요 붕괴로 바로 연결할 수 없다.</w:t>
      </w:r>
    </w:p>
    <w:p>
      <w:pPr>
        <w:spacing w:after="120" w:before="0" w:line="283" w:lineRule="auto"/>
        <w:jc w:val="left"/>
      </w:pPr>
      <w:r>
        <w:rPr>
          <w:rFonts w:ascii="맑은 고딕" w:hAnsi="맑은 고딕" w:eastAsia="맑은 고딕"/>
          <w:b w:val="0"/>
          <w:i w:val="0"/>
          <w:color w:val="1A1A1A"/>
          <w:sz w:val="22"/>
        </w:rPr>
        <w:t>MCP 수출액은 4.6% 증가했지만 통관단가는 10.8% 올랐고 역산 중량은 5.6% 감소했다. 이번 한 달의 MCP 증가분은 물량 증가보다 HBM 비중·고단화·고가 제품 믹스 효과가 주도했을 가능성이 크다.</w:t>
      </w:r>
    </w:p>
    <w:p>
      <w:pPr>
        <w:spacing w:before="200" w:after="80"/>
      </w:pPr>
      <w:r>
        <w:rPr>
          <w:rFonts w:ascii="맑은 고딕" w:hAnsi="맑은 고딕" w:eastAsia="맑은 고딕"/>
          <w:b/>
          <w:i w:val="0"/>
          <w:color w:val="1E407C"/>
          <w:sz w:val="26"/>
        </w:rPr>
        <w:t>6-2. 최종 판정</w:t>
      </w:r>
    </w:p>
    <w:p>
      <w:pPr>
        <w:spacing w:after="120" w:before="0" w:line="283" w:lineRule="auto"/>
        <w:jc w:val="left"/>
      </w:pPr>
      <w:r>
        <w:rPr>
          <w:rFonts w:ascii="맑은 고딕" w:hAnsi="맑은 고딕" w:eastAsia="맑은 고딕"/>
          <w:b w:val="0"/>
          <w:i w:val="0"/>
          <w:color w:val="1A1A1A"/>
          <w:sz w:val="22"/>
        </w:rPr>
        <w:t>DRAM 모듈 ASP 하락 ≠ DRAM 칩 가격 하락이라는 설명은 맞다. 다만 다음 문장은 수정해야 한다.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기존</w:t>
            </w:r>
          </w:p>
          <w:p>
            <w:pPr>
              <w:spacing w:after="20" w:before="0" w:line="276" w:lineRule="auto"/>
            </w:pPr>
            <w:r>
              <w:rPr>
                <w:rFonts w:ascii="맑은 고딕" w:hAnsi="맑은 고딕" w:eastAsia="맑은 고딕"/>
                <w:b w:val="0"/>
                <w:i w:val="0"/>
                <w:color w:val="1A1A1A"/>
                <w:sz w:val="21"/>
              </w:rPr>
              <w:t>모듈 ASP 하락은 믹스 효과일 가능성을 먼저 봐야 한다.</w:t>
            </w:r>
          </w:p>
        </w:tc>
      </w:tr>
    </w:tbl>
    <w:p>
      <w:pPr>
        <w:spacing w:after="120"/>
      </w:pP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권장</w:t>
            </w:r>
          </w:p>
          <w:p>
            <w:pPr>
              <w:spacing w:after="20" w:before="0" w:line="276" w:lineRule="auto"/>
            </w:pPr>
            <w:r>
              <w:rPr>
                <w:rFonts w:ascii="맑은 고딕" w:hAnsi="맑은 고딕" w:eastAsia="맑은 고딕"/>
                <w:b w:val="0"/>
                <w:i w:val="0"/>
                <w:color w:val="1A1A1A"/>
                <w:sz w:val="21"/>
              </w:rPr>
              <w:t>DRAM 모듈의 kg당 통관단가는 제품·지역 믹스의 영향을 크게 받으므로 DRAM die 가격과 동일시할 수 없다.</w:t>
            </w:r>
          </w:p>
          <w:p>
            <w:pPr>
              <w:spacing w:after="20" w:before="0" w:line="276" w:lineRule="auto"/>
            </w:pPr>
            <w:r>
              <w:rPr>
                <w:rFonts w:ascii="맑은 고딕" w:hAnsi="맑은 고딕" w:eastAsia="맑은 고딕"/>
                <w:b w:val="0"/>
                <w:i w:val="0"/>
                <w:color w:val="1A1A1A"/>
                <w:sz w:val="21"/>
              </w:rPr>
              <w:t>다만 8월 1~20일 환산치에서는 kg당 단가 하락뿐 아니라 수출중량 감소도 함께 나타났기 때문에</w:t>
            </w:r>
          </w:p>
          <w:p>
            <w:pPr>
              <w:spacing w:after="20" w:before="0" w:line="276" w:lineRule="auto"/>
            </w:pPr>
            <w:r>
              <w:rPr>
                <w:rFonts w:ascii="맑은 고딕" w:hAnsi="맑은 고딕" w:eastAsia="맑은 고딕"/>
                <w:b w:val="0"/>
                <w:i w:val="0"/>
                <w:color w:val="1A1A1A"/>
                <w:sz w:val="21"/>
              </w:rPr>
              <w:t>단순 믹스만으로 설명하기보다 출하 시점, 지역 구성, SKU 구성, 실제 모듈 물량을 함께 확인해야 한다.</w:t>
            </w:r>
          </w:p>
        </w:tc>
      </w:tr>
    </w:tbl>
    <w:p>
      <w:pPr>
        <w:spacing w:after="120"/>
      </w:pPr>
    </w:p>
    <w:p>
      <w:pPr>
        <w:spacing w:after="120" w:before="0" w:line="283" w:lineRule="auto"/>
        <w:jc w:val="left"/>
      </w:pPr>
      <w:r>
        <w:rPr>
          <w:rFonts w:ascii="맑은 고딕" w:hAnsi="맑은 고딕" w:eastAsia="맑은 고딕"/>
          <w:b w:val="0"/>
          <w:i w:val="0"/>
          <w:color w:val="1A1A1A"/>
          <w:sz w:val="22"/>
        </w:rPr>
        <w:t>8월 수치는 13개 조업일을 전체 20개 조업일로 환산한 중간 추정치다. 월말 출하 집중에 따라 최종 수치가 달라질 수 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VII.  </w:t>
      </w:r>
      <w:r>
        <w:rPr>
          <w:rFonts w:ascii="맑은 고딕" w:hAnsi="맑은 고딕" w:eastAsia="맑은 고딕"/>
          <w:b/>
          <w:i w:val="0"/>
          <w:color w:val="0F2043"/>
          <w:sz w:val="32"/>
        </w:rPr>
        <w:t>로보티즈 vs 에스피지 — QDD 직접성과 실적 방어력</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QDD 매출의 직접성: 로보티즈 &gt; 에스피지.</w:t>
            </w:r>
          </w:p>
          <w:p>
            <w:pPr>
              <w:spacing w:after="20" w:before="0" w:line="276" w:lineRule="auto"/>
            </w:pPr>
            <w:r>
              <w:rPr>
                <w:rFonts w:ascii="맑은 고딕" w:hAnsi="맑은 고딕" w:eastAsia="맑은 고딕"/>
                <w:b w:val="0"/>
                <w:i w:val="0"/>
                <w:color w:val="1A1A1A"/>
                <w:sz w:val="21"/>
              </w:rPr>
              <w:t>기존 사업의 하방 방어력: 에스피지 &gt; 로보티즈.</w:t>
            </w:r>
          </w:p>
          <w:p>
            <w:pPr>
              <w:spacing w:after="20" w:before="0" w:line="276" w:lineRule="auto"/>
            </w:pPr>
            <w:r>
              <w:rPr>
                <w:rFonts w:ascii="맑은 고딕" w:hAnsi="맑은 고딕" w:eastAsia="맑은 고딕"/>
                <w:b w:val="0"/>
                <w:i w:val="0"/>
                <w:color w:val="1A1A1A"/>
                <w:sz w:val="21"/>
              </w:rPr>
              <w:t>현재 밸류에이션 부담: 로보티즈 &gt; 에스피지.</w:t>
            </w:r>
          </w:p>
          <w:p>
            <w:pPr>
              <w:spacing w:after="20" w:before="0" w:line="276" w:lineRule="auto"/>
            </w:pPr>
            <w:r>
              <w:rPr>
                <w:rFonts w:ascii="맑은 고딕" w:hAnsi="맑은 고딕" w:eastAsia="맑은 고딕"/>
                <w:b w:val="0"/>
                <w:i w:val="0"/>
                <w:color w:val="1A1A1A"/>
                <w:sz w:val="21"/>
              </w:rPr>
              <w:t>실제 양산 증명의 선명도: 정밀감속기는 에스피지, QDD는 로보티즈.</w:t>
            </w:r>
          </w:p>
        </w:tc>
      </w:tr>
    </w:tbl>
    <w:p>
      <w:pPr>
        <w:spacing w:after="120"/>
      </w:pPr>
    </w:p>
    <w:p>
      <w:pPr>
        <w:spacing w:after="120" w:before="0" w:line="283" w:lineRule="auto"/>
        <w:jc w:val="left"/>
      </w:pPr>
      <w:r>
        <w:rPr>
          <w:rFonts w:ascii="맑은 고딕" w:hAnsi="맑은 고딕" w:eastAsia="맑은 고딕"/>
          <w:b w:val="0"/>
          <w:i w:val="0"/>
          <w:color w:val="1A1A1A"/>
          <w:sz w:val="22"/>
        </w:rPr>
        <w:t>별도 Word 파일은 검색으로 정확히 찾지 못해, 아래 숫자는 미래에셋·iM증권 원자료 대조를 전제로 한다. 두 목표주가는 산정 연도와 지표가 완전히 다르므로 단순 평균하면 안 된다.</w:t>
      </w:r>
    </w:p>
    <w:p>
      <w:pPr>
        <w:spacing w:before="200" w:after="80"/>
      </w:pPr>
      <w:r>
        <w:rPr>
          <w:rFonts w:ascii="맑은 고딕" w:hAnsi="맑은 고딕" w:eastAsia="맑은 고딕"/>
          <w:b/>
          <w:i w:val="0"/>
          <w:color w:val="1E407C"/>
          <w:sz w:val="26"/>
        </w:rPr>
        <w:t>7-1. 로보티즈</w:t>
      </w:r>
    </w:p>
    <w:p>
      <w:pPr>
        <w:spacing w:after="120" w:before="0" w:line="283" w:lineRule="auto"/>
        <w:jc w:val="left"/>
      </w:pPr>
      <w:r>
        <w:rPr>
          <w:rFonts w:ascii="맑은 고딕" w:hAnsi="맑은 고딕" w:eastAsia="맑은 고딕"/>
          <w:b w:val="0"/>
          <w:i w:val="0"/>
          <w:color w:val="1A1A1A"/>
          <w:sz w:val="22"/>
        </w:rPr>
        <w:t>미래에셋의 목표주가 35만6천 원은 2027년 예상 SPS 8,408원에 목표 P/S 42.3배를 적용한 결과다. 42.3배는 글로벌 휴머노이드 밸류체인 평균에 20% 프리미엄을 준 매우 높은 배수다.</w:t>
      </w:r>
    </w:p>
    <w:p>
      <w:pPr>
        <w:spacing w:after="120" w:before="0" w:line="283" w:lineRule="auto"/>
        <w:jc w:val="left"/>
      </w:pPr>
      <w:r>
        <w:rPr>
          <w:rFonts w:ascii="맑은 고딕" w:hAnsi="맑은 고딕" w:eastAsia="맑은 고딕"/>
          <w:b w:val="0"/>
          <w:i w:val="0"/>
          <w:color w:val="1A1A1A"/>
          <w:sz w:val="22"/>
        </w:rPr>
        <w:t>실물 가설은 비교적 명확하다.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2026년 1분기 액추에이터 매출 비중 97.33%, 가동률 89%.</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2025년 수주 약 44만 대 중 생산능력 제약으로 약 22만 대 출하.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우즈베키스탄 공장을 통해 2026년 4분기 20만 대 생산능력 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QDD 기반 다이나믹셀 Q 시리즈의 중국 공급 확대 계획.</w:t>
      </w:r>
    </w:p>
    <w:p>
      <w:pPr>
        <w:spacing w:after="120" w:before="0" w:line="283" w:lineRule="auto"/>
        <w:jc w:val="left"/>
      </w:pPr>
      <w:r>
        <w:rPr>
          <w:rFonts w:ascii="맑은 고딕" w:hAnsi="맑은 고딕" w:eastAsia="맑은 고딕"/>
          <w:b w:val="0"/>
          <w:i w:val="0"/>
          <w:color w:val="1A1A1A"/>
          <w:sz w:val="22"/>
        </w:rPr>
        <w:t>밸류에이션은 실적보다 생산 램프업에 의존한다. 미래에셋 추정상 2026년에는 영업적자가 예상되고, 2027년 예상 P/E도 161.7배다. 보고서 스스로 우즈베키스탄 공장의 초기 수율·품질관리, Q 시리즈의 기존 제품 대비 낮은 마진 가능성을 위험요인으로 명시한다.</w:t>
      </w:r>
    </w:p>
    <w:p>
      <w:pPr>
        <w:spacing w:after="40" w:before="0" w:line="283" w:lineRule="auto"/>
        <w:jc w:val="left"/>
      </w:pPr>
      <w:r>
        <w:rPr>
          <w:rFonts w:ascii="맑은 고딕" w:hAnsi="맑은 고딕" w:eastAsia="맑은 고딕"/>
          <w:b/>
          <w:i w:val="0"/>
          <w:color w:val="1A1A1A"/>
          <w:sz w:val="22"/>
        </w:rPr>
        <w:t>반드시 볼 지표</w:t>
      </w:r>
    </w:p>
    <w:p>
      <w:pPr>
        <w:spacing w:before="80" w:after="160" w:line="288" w:lineRule="auto"/>
        <w:jc w:val="center"/>
      </w:pPr>
      <w:r>
        <w:rPr>
          <w:rFonts w:ascii="맑은 고딕" w:hAnsi="맑은 고딕" w:eastAsia="맑은 고딕"/>
          <w:b/>
          <w:i w:val="0"/>
          <w:color w:val="0F2043"/>
          <w:sz w:val="22"/>
        </w:rPr>
        <w:t>수주 44만 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실제 출하 전환율</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우즈벡 초기 수율·불량률</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Q 시리즈 ASP·매출총이익률</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중국 고객 반복 주문</w:t>
      </w:r>
    </w:p>
    <w:p>
      <w:pPr>
        <w:spacing w:before="200" w:after="80"/>
      </w:pPr>
      <w:r>
        <w:rPr>
          <w:rFonts w:ascii="맑은 고딕" w:hAnsi="맑은 고딕" w:eastAsia="맑은 고딕"/>
          <w:b/>
          <w:i w:val="0"/>
          <w:color w:val="1E407C"/>
          <w:sz w:val="26"/>
        </w:rPr>
        <w:t>7-2. 에스피지</w:t>
      </w:r>
    </w:p>
    <w:p>
      <w:pPr>
        <w:spacing w:after="120" w:before="0" w:line="283" w:lineRule="auto"/>
        <w:jc w:val="left"/>
      </w:pPr>
      <w:r>
        <w:rPr>
          <w:rFonts w:ascii="맑은 고딕" w:hAnsi="맑은 고딕" w:eastAsia="맑은 고딕"/>
          <w:b w:val="0"/>
          <w:i w:val="0"/>
          <w:color w:val="1A1A1A"/>
          <w:sz w:val="22"/>
        </w:rPr>
        <w:t>iM증권의 목표주가 16만 원 산식은 맞다. 2029F EPS 2,623원 × P/E 60배 = 157,380원 ≈ 160,000원. 핵심 위험은 2029년 이익을 12개월 목표주가에 사용했다는 점이다. iM증권도 레인보우로보틱스의 양산체제 구축이 상대적으로 늦기 때문에 2029년 EPS를 사용했다고 설명했다. 같은 보고서의 2028년 예상 EPS는 1,913원이다.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적용 EPS</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 40배</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 50배</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P/E 60배</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2028E 1,913원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7.65만 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9.57만 원</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11.48만 원</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2029F 2,623원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10.49만 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13.12만 원</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15.74만 원</w:t>
            </w:r>
          </w:p>
        </w:tc>
      </w:tr>
    </w:tbl>
    <w:p>
      <w:pPr>
        <w:spacing w:after="160" w:before="40"/>
      </w:pPr>
    </w:p>
    <w:p>
      <w:pPr>
        <w:spacing w:after="120" w:before="0" w:line="283" w:lineRule="auto"/>
        <w:jc w:val="left"/>
      </w:pPr>
      <w:r>
        <w:rPr>
          <w:rFonts w:ascii="맑은 고딕" w:hAnsi="맑은 고딕" w:eastAsia="맑은 고딕"/>
          <w:b w:val="0"/>
          <w:i w:val="0"/>
          <w:color w:val="1A1A1A"/>
          <w:sz w:val="22"/>
        </w:rPr>
        <w:t>목표주가 16만 원은 다음 세 조건을 동시에 요구한다.</w:t>
      </w:r>
    </w:p>
    <w:p>
      <w:pPr>
        <w:spacing w:before="80" w:after="160" w:line="288" w:lineRule="auto"/>
        <w:jc w:val="center"/>
      </w:pPr>
      <w:r>
        <w:rPr>
          <w:rFonts w:ascii="맑은 고딕" w:hAnsi="맑은 고딕" w:eastAsia="맑은 고딕"/>
          <w:b/>
          <w:i w:val="0"/>
          <w:color w:val="0F2043"/>
          <w:sz w:val="22"/>
        </w:rPr>
        <w:t>2029년 EPS 달성</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일본 감속기업체 수준 P/E 60배 유지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레인보우·LG 등 고객의 실제 양산 전환</w:t>
      </w:r>
    </w:p>
    <w:p>
      <w:pPr>
        <w:spacing w:after="120" w:before="0" w:line="283" w:lineRule="auto"/>
        <w:jc w:val="left"/>
      </w:pPr>
      <w:r>
        <w:rPr>
          <w:rFonts w:ascii="맑은 고딕" w:hAnsi="맑은 고딕" w:eastAsia="맑은 고딕"/>
          <w:b w:val="0"/>
          <w:i w:val="0"/>
          <w:color w:val="1A1A1A"/>
          <w:sz w:val="22"/>
        </w:rPr>
        <w:t>참고로 미래에셋은 에스피지에 2027년 SPS 17,608원과 P/S 7.3배를 적용해 목표주가 12만9천 원을 제시했다. iM증권의 16만 원과 산정 연도·지표가 다르다.</w:t>
      </w:r>
    </w:p>
    <w:p>
      <w:pPr>
        <w:spacing w:before="200" w:after="80"/>
      </w:pPr>
      <w:r>
        <w:rPr>
          <w:rFonts w:ascii="맑은 고딕" w:hAnsi="맑은 고딕" w:eastAsia="맑은 고딕"/>
          <w:b/>
          <w:i w:val="0"/>
          <w:color w:val="1E407C"/>
          <w:sz w:val="26"/>
        </w:rPr>
        <w:t>7-3. SDD의 ‘90% 경량화’는 오독</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게시용 수정 문안</w:t>
            </w:r>
          </w:p>
          <w:p>
            <w:pPr>
              <w:spacing w:after="20" w:before="0" w:line="276" w:lineRule="auto"/>
            </w:pPr>
            <w:r>
              <w:rPr>
                <w:rFonts w:ascii="맑은 고딕" w:hAnsi="맑은 고딕" w:eastAsia="맑은 고딕"/>
                <w:b w:val="0"/>
                <w:i w:val="0"/>
                <w:color w:val="1A1A1A"/>
                <w:sz w:val="21"/>
              </w:rPr>
              <w:t>미래에셋 보고서 표지 일부는 ‘90% 경량화’로 읽힐 수 있게 작성됐다.</w:t>
            </w:r>
          </w:p>
          <w:p>
            <w:pPr>
              <w:spacing w:after="20" w:before="0" w:line="276" w:lineRule="auto"/>
            </w:pPr>
            <w:r>
              <w:rPr>
                <w:rFonts w:ascii="맑은 고딕" w:hAnsi="맑은 고딕" w:eastAsia="맑은 고딕"/>
                <w:b w:val="0"/>
                <w:i w:val="0"/>
                <w:color w:val="1A1A1A"/>
                <w:sz w:val="21"/>
              </w:rPr>
              <w:t>상세 본문은 SDD의 무게가 중국산 제품 대비 약 90% 수준이라고 명시한다. 의미는 약 10% 경량화다.</w:t>
            </w:r>
          </w:p>
          <w:p>
            <w:pPr>
              <w:spacing w:after="20" w:before="0" w:line="276" w:lineRule="auto"/>
            </w:pPr>
            <w:r>
              <w:rPr>
                <w:rFonts w:ascii="맑은 고딕" w:hAnsi="맑은 고딕" w:eastAsia="맑은 고딕"/>
                <w:b w:val="0"/>
                <w:i w:val="0"/>
                <w:color w:val="1A1A1A"/>
                <w:sz w:val="21"/>
              </w:rPr>
              <w:t>본문상 내구성 약 20% 개선, 정밀도 2배 이상, 10시간 연속구동을 주장한다.</w:t>
            </w:r>
          </w:p>
        </w:tc>
      </w:tr>
    </w:tbl>
    <w:p>
      <w:pPr>
        <w:spacing w:after="120"/>
      </w:pPr>
    </w:p>
    <w:p>
      <w:pPr>
        <w:spacing w:after="120" w:before="0" w:line="283" w:lineRule="auto"/>
        <w:jc w:val="left"/>
      </w:pPr>
      <w:r>
        <w:rPr>
          <w:rFonts w:ascii="맑은 고딕" w:hAnsi="맑은 고딕" w:eastAsia="맑은 고딕"/>
          <w:b w:val="0"/>
          <w:i w:val="0"/>
          <w:color w:val="1A1A1A"/>
          <w:sz w:val="22"/>
        </w:rPr>
        <w:t>또한 다음은 아직 확정 공급으로 쓰면 안 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SDD 5,000대 생산 목표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한국기계연구원향 1,000대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LG사이언스파크를 통한 4,000대 공급</w:t>
      </w:r>
    </w:p>
    <w:p>
      <w:pPr>
        <w:spacing w:after="120" w:before="0" w:line="283" w:lineRule="auto"/>
        <w:jc w:val="left"/>
      </w:pPr>
      <w:r>
        <w:rPr>
          <w:rFonts w:ascii="맑은 고딕" w:hAnsi="맑은 고딕" w:eastAsia="맑은 고딕"/>
          <w:b w:val="0"/>
          <w:i w:val="0"/>
          <w:color w:val="1A1A1A"/>
          <w:sz w:val="22"/>
        </w:rPr>
        <w:t>보고서 표현은 ‘목표’와 ‘공급 추진’이다. 9월부터 초기 양산을 시작할 예정이므로 발주서, 출하, 매출 인식 확인이 필요하다.</w:t>
      </w:r>
    </w:p>
    <w:p>
      <w:pPr>
        <w:spacing w:before="200" w:after="80"/>
      </w:pPr>
      <w:r>
        <w:rPr>
          <w:rFonts w:ascii="맑은 고딕" w:hAnsi="맑은 고딕" w:eastAsia="맑은 고딕"/>
          <w:b/>
          <w:i w:val="0"/>
          <w:color w:val="1E407C"/>
          <w:sz w:val="26"/>
        </w:rPr>
        <w:t>7-4. 두 종목 비교</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기준</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로보티즈</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에스피지</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QDD 직접 노출</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높음</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아직 초기</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자체 완성 액추에이터</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강점</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SDD 신규 진입</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현재 실적 기반</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약함 · 2026E 적자</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모터·감속기 본업 존재</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촉매</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Q 시리즈 · 우즈벡 램프업</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정밀감속기 매출 · SDD 출하</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가장 큰 위험</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P/S 42.3배 · 수율 · 마진</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2029 EPS · 60배 적용</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고객 검증</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중국 고객 반복 주문</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레인보우 · LG · KIMM 실제 PO</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투자 성격</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고베타 QDD 순수 플레이</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본업 + 로봇 옵션</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VIII.  </w:t>
      </w:r>
      <w:r>
        <w:rPr>
          <w:rFonts w:ascii="맑은 고딕" w:hAnsi="맑은 고딕" w:eastAsia="맑은 고딕"/>
          <w:b/>
          <w:i w:val="0"/>
          <w:color w:val="0F2043"/>
          <w:sz w:val="32"/>
        </w:rPr>
        <w:t>AI 광고 — 수치는 맞고, 분모를 반드시 붙인다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게시용 수정 문안</w:t>
            </w:r>
          </w:p>
          <w:p>
            <w:pPr>
              <w:spacing w:after="20" w:before="0" w:line="276" w:lineRule="auto"/>
            </w:pPr>
            <w:r>
              <w:rPr>
                <w:rFonts w:ascii="맑은 고딕" w:hAnsi="맑은 고딕" w:eastAsia="맑은 고딕"/>
                <w:b w:val="0"/>
                <w:i w:val="0"/>
                <w:color w:val="1A1A1A"/>
                <w:sz w:val="21"/>
              </w:rPr>
              <w:t>광고를 유발하도록 선별한 미국 상업성 키워드 표본에서 AI Mode 광고 노출률은 29.45%였다.</w:t>
            </w:r>
          </w:p>
          <w:p>
            <w:pPr>
              <w:spacing w:after="20" w:before="0" w:line="276" w:lineRule="auto"/>
            </w:pPr>
            <w:r>
              <w:rPr>
                <w:rFonts w:ascii="맑은 고딕" w:hAnsi="맑은 고딕" w:eastAsia="맑은 고딕"/>
                <w:b w:val="0"/>
                <w:i w:val="0"/>
                <w:color w:val="1A1A1A"/>
                <w:sz w:val="21"/>
              </w:rPr>
              <w:t>같은 계열의 미국 상업성 프롬프트 표본, Free·Go 이용환경에서 ChatGPT 광고 노출률은 25.94%였다.</w:t>
            </w:r>
          </w:p>
          <w:p>
            <w:pPr>
              <w:spacing w:after="20" w:before="0" w:line="276" w:lineRule="auto"/>
            </w:pPr>
            <w:r>
              <w:rPr>
                <w:rFonts w:ascii="맑은 고딕" w:hAnsi="맑은 고딕" w:eastAsia="맑은 고딕"/>
                <w:b w:val="0"/>
                <w:i w:val="0"/>
                <w:color w:val="1A1A1A"/>
                <w:sz w:val="21"/>
              </w:rPr>
              <w:t>OpenAI의 $3~$5는 실제 CPC가 아니라 초기 CPC 캠페인의 권장 최대 CPC 입찰가다.</w:t>
            </w:r>
          </w:p>
        </w:tc>
      </w:tr>
    </w:tbl>
    <w:p>
      <w:pPr>
        <w:spacing w:after="120"/>
      </w:pPr>
    </w:p>
    <w:p>
      <w:pPr>
        <w:spacing w:before="200" w:after="80"/>
      </w:pPr>
      <w:r>
        <w:rPr>
          <w:rFonts w:ascii="맑은 고딕" w:hAnsi="맑은 고딕" w:eastAsia="맑은 고딕"/>
          <w:b/>
          <w:i w:val="0"/>
          <w:color w:val="1E407C"/>
          <w:sz w:val="26"/>
        </w:rPr>
        <w:t>8-1. Google AI Mode</w:t>
      </w:r>
    </w:p>
    <w:p>
      <w:pPr>
        <w:spacing w:after="120" w:before="0" w:line="283" w:lineRule="auto"/>
        <w:jc w:val="left"/>
      </w:pPr>
      <w:r>
        <w:rPr>
          <w:rFonts w:ascii="맑은 고딕" w:hAnsi="맑은 고딕" w:eastAsia="맑은 고딕"/>
          <w:b w:val="0"/>
          <w:i w:val="0"/>
          <w:color w:val="1A1A1A"/>
          <w:sz w:val="22"/>
        </w:rPr>
        <w:t>Google AI Mode는 Gemini가 검색창에 들어간 것보다 조금 더 복합적이다. Gemini 계열 추론이 질문을 여러 하위 주제로 나누고, Google Search의 웹 검색을 병렬로 수행한 뒤 답변과 출처 링크를 구성한다. Google은 이를 query fan-out이라고 설명한다.</w:t>
      </w:r>
    </w:p>
    <w:p>
      <w:pPr>
        <w:spacing w:after="120" w:before="0" w:line="283" w:lineRule="auto"/>
        <w:jc w:val="left"/>
      </w:pPr>
      <w:r>
        <w:rPr>
          <w:rFonts w:ascii="맑은 고딕" w:hAnsi="맑은 고딕" w:eastAsia="맑은 고딕"/>
          <w:b w:val="0"/>
          <w:i w:val="0"/>
          <w:color w:val="1A1A1A"/>
          <w:sz w:val="22"/>
        </w:rPr>
        <w:t>SE Ranking 조사 수치 자체는 정확하다.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표본</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상업성 키워드 50,032개 · 20개 업종 · 2026-06-30</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노출</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14,733개</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노출률</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29.45%</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광고가 나온 경우 2개</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71.1%</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광고주 도메인이 AI 답변 출처에도 포함</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11.53%</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광고와 정확히 같은 URL이 출처</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1.95%</w:t>
            </w:r>
          </w:p>
        </w:tc>
      </w:tr>
    </w:tbl>
    <w:p>
      <w:pPr>
        <w:spacing w:after="160" w:before="4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CPC</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AI Mode 광고 노출률</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 미만</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24.33%</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$2~10</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32.45%</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 이상</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53.56%</w:t>
            </w:r>
          </w:p>
        </w:tc>
      </w:tr>
    </w:tbl>
    <w:p>
      <w:pPr>
        <w:spacing w:after="160" w:before="40"/>
      </w:pPr>
    </w:p>
    <w:p>
      <w:pPr>
        <w:spacing w:after="120" w:before="0" w:line="283" w:lineRule="auto"/>
        <w:jc w:val="left"/>
      </w:pPr>
      <w:r>
        <w:rPr>
          <w:rFonts w:ascii="맑은 고딕" w:hAnsi="맑은 고딕" w:eastAsia="맑은 고딕"/>
          <w:b w:val="0"/>
          <w:i w:val="0"/>
          <w:color w:val="1A1A1A"/>
          <w:sz w:val="22"/>
        </w:rPr>
        <w:t>CPC가 광고 노출을 인과적으로 발생시켰다고 입증한 연구는 아니다. 상업성이 높고 광고주 경쟁이 강한 키워드일수록 CPC와 광고 노출률이 함께 높은 상관관계로 보는 것이 정확하다.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가장 중요한 표본 제한</w:t>
            </w:r>
          </w:p>
          <w:p>
            <w:pPr>
              <w:spacing w:after="20" w:before="0" w:line="276" w:lineRule="auto"/>
            </w:pPr>
            <w:r>
              <w:rPr>
                <w:rFonts w:ascii="맑은 고딕" w:hAnsi="맑은 고딕" w:eastAsia="맑은 고딕"/>
                <w:b w:val="0"/>
                <w:i w:val="0"/>
                <w:color w:val="1A1A1A"/>
                <w:sz w:val="21"/>
              </w:rPr>
              <w:t>연구는 모든 Google 검색어를 무작위 추출한 것이 아니다.</w:t>
            </w:r>
          </w:p>
          <w:p>
            <w:pPr>
              <w:spacing w:after="20" w:before="0" w:line="276" w:lineRule="auto"/>
            </w:pPr>
            <w:r>
              <w:rPr>
                <w:rFonts w:ascii="맑은 고딕" w:hAnsi="맑은 고딕" w:eastAsia="맑은 고딕"/>
                <w:b w:val="0"/>
                <w:i w:val="0"/>
                <w:color w:val="1A1A1A"/>
                <w:sz w:val="21"/>
              </w:rPr>
              <w:t>웹사이트 텍스트 광고를 유발하도록 사전에 선별한 20개 업종의 미국 상업성 키워드 표본이다.</w:t>
            </w:r>
          </w:p>
          <w:p>
            <w:pPr>
              <w:spacing w:after="20" w:before="0" w:line="276" w:lineRule="auto"/>
            </w:pPr>
            <w:r>
              <w:rPr>
                <w:rFonts w:ascii="맑은 고딕" w:hAnsi="맑은 고딕" w:eastAsia="맑은 고딕"/>
                <w:b w:val="0"/>
                <w:i w:val="0"/>
                <w:color w:val="1A1A1A"/>
                <w:sz w:val="21"/>
              </w:rPr>
              <w:t>따라서 ‘AI Mode 검색의 약 3분의 1에서 광고가 나온다’는 과장이다.</w:t>
            </w:r>
          </w:p>
        </w:tc>
      </w:tr>
    </w:tbl>
    <w:p>
      <w:pPr>
        <w:spacing w:after="120"/>
      </w:pPr>
    </w:p>
    <w:p>
      <w:pPr>
        <w:spacing w:before="200" w:after="80"/>
      </w:pPr>
      <w:r>
        <w:rPr>
          <w:rFonts w:ascii="맑은 고딕" w:hAnsi="맑은 고딕" w:eastAsia="맑은 고딕"/>
          <w:b/>
          <w:i w:val="0"/>
          <w:color w:val="1E407C"/>
          <w:sz w:val="26"/>
        </w:rPr>
        <w:t>8-2. ChatGPT 광고</w:t>
      </w:r>
    </w:p>
    <w:p>
      <w:pPr>
        <w:spacing w:after="120" w:before="0" w:line="283" w:lineRule="auto"/>
        <w:jc w:val="left"/>
      </w:pPr>
      <w:r>
        <w:rPr>
          <w:rFonts w:ascii="맑은 고딕" w:hAnsi="맑은 고딕" w:eastAsia="맑은 고딕"/>
          <w:b w:val="0"/>
          <w:i w:val="0"/>
          <w:color w:val="1A1A1A"/>
          <w:sz w:val="22"/>
        </w:rPr>
        <w:t>OpenAI는 2026년 5월 beta self-serve Ads Manager를 단계적으로 더 많은 사업자에게 개방하기 시작했고 CPC 구매방식을 도입했다. 광고주는 클릭이 발생했을 때 비용을 지불한다. CPC의 기본 정의 광고비÷유효 클릭 수는 맞다.</w:t>
      </w:r>
    </w:p>
    <w:p>
      <w:pPr>
        <w:spacing w:after="120" w:before="0" w:line="283" w:lineRule="auto"/>
        <w:jc w:val="left"/>
      </w:pPr>
      <w:r>
        <w:rPr>
          <w:rFonts w:ascii="맑은 고딕" w:hAnsi="맑은 고딕" w:eastAsia="맑은 고딕"/>
          <w:b w:val="0"/>
          <w:i w:val="0"/>
          <w:color w:val="1A1A1A"/>
          <w:sz w:val="22"/>
        </w:rPr>
        <w:t>그러나 $3~$5의 정확한 의미는 다음과 같다.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정확한 한 줄</w:t>
            </w:r>
          </w:p>
          <w:p>
            <w:pPr>
              <w:spacing w:after="20" w:before="0" w:line="276" w:lineRule="auto"/>
            </w:pPr>
            <w:r>
              <w:rPr>
                <w:rFonts w:ascii="맑은 고딕" w:hAnsi="맑은 고딕" w:eastAsia="맑은 고딕"/>
                <w:b w:val="0"/>
                <w:i w:val="0"/>
                <w:color w:val="1A1A1A"/>
                <w:sz w:val="21"/>
              </w:rPr>
              <w:t>OpenAI가 초기 CPC 캠페인에서 권장하는 광고그룹 단위 최대 CPC 입찰가.</w:t>
            </w:r>
          </w:p>
        </w:tc>
      </w:tr>
    </w:tbl>
    <w:p>
      <w:pPr>
        <w:spacing w:after="120"/>
      </w:pPr>
    </w:p>
    <w:p>
      <w:pPr>
        <w:spacing w:after="120" w:before="0" w:line="283" w:lineRule="auto"/>
        <w:jc w:val="left"/>
      </w:pPr>
      <w:r>
        <w:rPr>
          <w:rFonts w:ascii="맑은 고딕" w:hAnsi="맑은 고딕" w:eastAsia="맑은 고딕"/>
          <w:b w:val="0"/>
          <w:i w:val="0"/>
          <w:color w:val="1A1A1A"/>
          <w:sz w:val="22"/>
        </w:rPr>
        <w:t>실제 지불 CPC가 반드시 $3~$5라는 뜻이 아니다. OpenAI Help Center는 관련성 가중 2순위 경매를 사용한다고 설명하므로, 실제 평균 CPC는 입찰 상한보다 낮을 수 있다. 권장 시작점은 $3~$5, 지불액은 그 아래일 수 있다.</w:t>
      </w:r>
    </w:p>
    <w:p>
      <w:pPr>
        <w:spacing w:after="120" w:before="0" w:line="283" w:lineRule="auto"/>
        <w:jc w:val="left"/>
      </w:pPr>
      <w:r>
        <w:rPr>
          <w:rFonts w:ascii="맑은 고딕" w:hAnsi="맑은 고딕" w:eastAsia="맑은 고딕"/>
          <w:b w:val="0"/>
          <w:i w:val="0"/>
          <w:color w:val="1A1A1A"/>
          <w:sz w:val="22"/>
        </w:rPr>
        <w:t>SE Ranking은 미국 상업성 프롬프트 50,006개를 2026년 7월 23일 관찰했다.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노출률</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25.94%  (12,974 / 50,006)</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위치 · 개수</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모든 광고는 답변 아래, 조사 시점 답변당 1개</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광고주 도메인 출처 포함</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3.63%</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정확히 같은 광고 URL이 출처</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0.09%</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광고주 도메인과 출처 미중복</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96.37%</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이용환경</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광고가 표시되는 Free · Go</w:t>
            </w:r>
          </w:p>
        </w:tc>
      </w:tr>
    </w:tbl>
    <w:p>
      <w:pPr>
        <w:spacing w:after="160" w:before="40"/>
      </w:pPr>
    </w:p>
    <w:p>
      <w:pPr>
        <w:spacing w:after="120" w:before="0" w:line="283" w:lineRule="auto"/>
        <w:jc w:val="left"/>
      </w:pPr>
      <w:r>
        <w:rPr>
          <w:rFonts w:ascii="맑은 고딕" w:hAnsi="맑은 고딕" w:eastAsia="맑은 고딕"/>
          <w:b w:val="0"/>
          <w:i w:val="0"/>
          <w:color w:val="1A1A1A"/>
          <w:sz w:val="22"/>
        </w:rPr>
        <w:t>따라서 25.94%를 전체 ChatGPT 이용량이나 전체 사용자 광고 노출률로 적용하면 안 된다.</w:t>
      </w:r>
    </w:p>
    <w:p>
      <w:pPr>
        <w:spacing w:after="120" w:before="0" w:line="283" w:lineRule="auto"/>
        <w:jc w:val="left"/>
      </w:pPr>
      <w:r>
        <w:rPr>
          <w:rFonts w:ascii="맑은 고딕" w:hAnsi="맑은 고딕" w:eastAsia="맑은 고딕"/>
          <w:b w:val="0"/>
          <w:i w:val="0"/>
          <w:color w:val="1A1A1A"/>
          <w:sz w:val="22"/>
        </w:rPr>
        <w:t>96.37%의 낮은 출처 중복률은 광고와 유기적 출처가 실무적으로 분리되어 있음을 보여주는 관찰 결과다. 그러나 이 수치만으로 광고가 답변 생성에 인과적으로 영향을 주지 않았다고 증명하는 것은 아니다. 그와 별도로 OpenAI는 공식적으로 광고가 ChatGPT 답변에 영향을 주지 않으며, 광고를 답변과 시각적으로 구분한다고 명시한다.</w:t>
      </w:r>
    </w:p>
    <w:p>
      <w:pPr>
        <w:spacing w:before="80" w:after="40"/>
        <w:jc w:val="center"/>
      </w:pPr>
      <w:r>
        <w:drawing>
          <wp:inline xmlns:a="http://schemas.openxmlformats.org/drawingml/2006/main" xmlns:pic="http://schemas.openxmlformats.org/drawingml/2006/picture">
            <wp:extent cx="5903999" cy="3161801"/>
            <wp:docPr id="3" name="Picture 3"/>
            <wp:cNvGraphicFramePr>
              <a:graphicFrameLocks noChangeAspect="1"/>
            </wp:cNvGraphicFramePr>
            <a:graphic>
              <a:graphicData uri="http://schemas.openxmlformats.org/drawingml/2006/picture">
                <pic:pic>
                  <pic:nvPicPr>
                    <pic:cNvPr id="0" name="20260824_ai_ads_comparison.png"/>
                    <pic:cNvPicPr/>
                  </pic:nvPicPr>
                  <pic:blipFill>
                    <a:blip r:embed="rId13"/>
                    <a:stretch>
                      <a:fillRect/>
                    </a:stretch>
                  </pic:blipFill>
                  <pic:spPr>
                    <a:xfrm>
                      <a:off x="0" y="0"/>
                      <a:ext cx="5903999" cy="3161801"/>
                    </a:xfrm>
                    <a:prstGeom prst="rect"/>
                  </pic:spPr>
                </pic:pic>
              </a:graphicData>
            </a:graphic>
          </wp:inline>
        </w:drawing>
      </w:r>
    </w:p>
    <w:p>
      <w:pPr>
        <w:spacing w:before="0" w:after="200"/>
        <w:jc w:val="center"/>
      </w:pPr>
      <w:r>
        <w:rPr>
          <w:rFonts w:ascii="맑은 고딕" w:hAnsi="맑은 고딕" w:eastAsia="맑은 고딕"/>
          <w:b w:val="0"/>
          <w:i/>
          <w:color w:val="4B5563"/>
          <w:sz w:val="18"/>
        </w:rPr>
        <w:t>그림 3. 두 플랫폼의 노출률은 상업성 표본에서 비슷하다. 분모를 빼면 과장이 된다.</w:t>
      </w:r>
    </w:p>
    <w:p>
      <w:pPr>
        <w:spacing w:before="200" w:after="80"/>
      </w:pPr>
      <w:r>
        <w:rPr>
          <w:rFonts w:ascii="맑은 고딕" w:hAnsi="맑은 고딕" w:eastAsia="맑은 고딕"/>
          <w:b/>
          <w:i w:val="0"/>
          <w:color w:val="1E407C"/>
          <w:sz w:val="26"/>
        </w:rPr>
        <w:t>8-3. 두 플랫폼 비교와 투자 함의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68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Google AI Mode</w:t>
            </w:r>
          </w:p>
        </w:tc>
        <w:tc>
          <w:tcPr>
            <w:tcW w:type="dxa" w:w="368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ChatGPT</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상업성 표본 광고 노출률</w:t>
            </w:r>
          </w:p>
        </w:tc>
        <w:tc>
          <w:tcPr>
            <w:tcW w:type="dxa" w:w="368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29.45%</w:t>
            </w:r>
          </w:p>
        </w:tc>
        <w:tc>
          <w:tcPr>
            <w:tcW w:type="dxa" w:w="368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25.94%</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기본 광고 수</w:t>
            </w:r>
          </w:p>
        </w:tc>
        <w:tc>
          <w:tcPr>
            <w:tcW w:type="dxa" w:w="368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주로 2개</w:t>
            </w:r>
          </w:p>
        </w:tc>
        <w:tc>
          <w:tcPr>
            <w:tcW w:type="dxa" w:w="368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조사 당시 1개</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위치</w:t>
            </w:r>
          </w:p>
        </w:tc>
        <w:tc>
          <w:tcPr>
            <w:tcW w:type="dxa" w:w="368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답변 주변·내부 블록</w:t>
            </w:r>
          </w:p>
        </w:tc>
        <w:tc>
          <w:tcPr>
            <w:tcW w:type="dxa" w:w="368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답변 아래</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광고주 도메인 출처 중복</w:t>
            </w:r>
          </w:p>
        </w:tc>
        <w:tc>
          <w:tcPr>
            <w:tcW w:type="dxa" w:w="368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11.53%</w:t>
            </w:r>
          </w:p>
        </w:tc>
        <w:tc>
          <w:tcPr>
            <w:tcW w:type="dxa" w:w="368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3.63%</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강점</w:t>
            </w:r>
          </w:p>
        </w:tc>
        <w:tc>
          <w:tcPr>
            <w:tcW w:type="dxa" w:w="368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성숙한 검색광고 수요·CPC 데이터</w:t>
            </w:r>
          </w:p>
        </w:tc>
        <w:tc>
          <w:tcPr>
            <w:tcW w:type="dxa" w:w="368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대화 맥락·의사결정 단계 파악</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위험</w:t>
            </w:r>
          </w:p>
        </w:tc>
        <w:tc>
          <w:tcPr>
            <w:tcW w:type="dxa" w:w="368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답변 원가·유기적 클릭 감소</w:t>
            </w:r>
          </w:p>
        </w:tc>
        <w:tc>
          <w:tcPr>
            <w:tcW w:type="dxa" w:w="368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초기 광고품질·전환율·사용자 신뢰</w:t>
            </w:r>
          </w:p>
        </w:tc>
      </w:tr>
    </w:tbl>
    <w:p>
      <w:pPr>
        <w:spacing w:after="160" w:before="40"/>
      </w:pPr>
    </w:p>
    <w:p>
      <w:pPr>
        <w:spacing w:after="120" w:before="0" w:line="283" w:lineRule="auto"/>
        <w:jc w:val="left"/>
      </w:pPr>
      <w:r>
        <w:rPr>
          <w:rFonts w:ascii="맑은 고딕" w:hAnsi="맑은 고딕" w:eastAsia="맑은 고딕"/>
          <w:b w:val="0"/>
          <w:i w:val="0"/>
          <w:color w:val="1A1A1A"/>
          <w:sz w:val="22"/>
        </w:rPr>
        <w:t>‘AI 서비스가 실제 매출을 창출해야 하며, 광고에서 초기 수익화 조짐이 확인되고 있다’는 결론은 타당하다. 다만 광고 노출률만으로 수익성이 증명되지는 않는다.</w:t>
      </w:r>
    </w:p>
    <w:p>
      <w:pPr>
        <w:spacing w:after="120" w:before="0" w:line="283" w:lineRule="auto"/>
        <w:jc w:val="left"/>
      </w:pPr>
      <w:r>
        <w:rPr>
          <w:rFonts w:ascii="맑은 고딕" w:hAnsi="맑은 고딕" w:eastAsia="맑은 고딕"/>
          <w:b w:val="0"/>
          <w:i w:val="0"/>
          <w:color w:val="1A1A1A"/>
          <w:sz w:val="22"/>
        </w:rPr>
        <w:t>광고매출 ≈ 광고대상 이용량 × 상업성 질문 비중 × 광고 노출률 × CTR × 실효 CPC. 여기에서 AI 답변 생성비용과 광고 영업·인프라 비용을 빼야 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확인된 것</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아직 미확인</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재고 존재</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대규모 광고매출</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광고주 직접 구매</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높은 전환율</w:t>
            </w:r>
          </w:p>
        </w:tc>
      </w:tr>
      <w:tr>
        <w:trPr>
          <w:cantSplit/>
        </w:trPr>
        <w:tc>
          <w:tcPr>
            <w:tcW w:type="dxa" w:w="498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CPC 경매 시작</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추론비용 초과 이익</w:t>
            </w:r>
          </w:p>
        </w:tc>
      </w:tr>
      <w:tr>
        <w:trPr>
          <w:cantSplit/>
        </w:trPr>
        <w:tc>
          <w:tcPr>
            <w:tcW w:type="dxa" w:w="498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상업성 의도 수익화</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Google 수준의 광고시장</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IX.  </w:t>
      </w:r>
      <w:r>
        <w:rPr>
          <w:rFonts w:ascii="맑은 고딕" w:hAnsi="맑은 고딕" w:eastAsia="맑은 고딕"/>
          <w:b/>
          <w:i w:val="0"/>
          <w:color w:val="0F2043"/>
          <w:sz w:val="32"/>
        </w:rPr>
        <w:t>최종 투자판정</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핵심</w:t>
            </w:r>
          </w:p>
          <w:p>
            <w:pPr>
              <w:spacing w:after="20" w:before="0" w:line="276" w:lineRule="auto"/>
            </w:pPr>
            <w:r>
              <w:rPr>
                <w:rFonts w:ascii="맑은 고딕" w:hAnsi="맑은 고딕" w:eastAsia="맑은 고딕"/>
                <w:b w:val="0"/>
                <w:i w:val="0"/>
                <w:color w:val="1A1A1A"/>
                <w:sz w:val="21"/>
              </w:rPr>
              <w:t>150%라는 헤드라인보다 계약의 법적 강도.</w:t>
            </w:r>
          </w:p>
          <w:p>
            <w:pPr>
              <w:spacing w:after="20" w:before="0" w:line="276" w:lineRule="auto"/>
            </w:pPr>
            <w:r>
              <w:rPr>
                <w:rFonts w:ascii="맑은 고딕" w:hAnsi="맑은 고딕" w:eastAsia="맑은 고딕"/>
                <w:b w:val="0"/>
                <w:i w:val="0"/>
                <w:color w:val="1A1A1A"/>
                <w:sz w:val="21"/>
              </w:rPr>
              <w:t>MCP 수출액보다 품목 분류와 kg당 통관단가.</w:t>
            </w:r>
          </w:p>
          <w:p>
            <w:pPr>
              <w:spacing w:after="20" w:before="0" w:line="276" w:lineRule="auto"/>
            </w:pPr>
            <w:r>
              <w:rPr>
                <w:rFonts w:ascii="맑은 고딕" w:hAnsi="맑은 고딕" w:eastAsia="맑은 고딕"/>
                <w:b w:val="0"/>
                <w:i w:val="0"/>
                <w:color w:val="1A1A1A"/>
                <w:sz w:val="21"/>
              </w:rPr>
              <w:t>로봇 목표주가보다 실제 출하와 수율.</w:t>
            </w:r>
          </w:p>
          <w:p>
            <w:pPr>
              <w:spacing w:after="20" w:before="0" w:line="276" w:lineRule="auto"/>
            </w:pPr>
            <w:r>
              <w:rPr>
                <w:rFonts w:ascii="맑은 고딕" w:hAnsi="맑은 고딕" w:eastAsia="맑은 고딕"/>
                <w:b w:val="0"/>
                <w:i w:val="0"/>
                <w:color w:val="1A1A1A"/>
                <w:sz w:val="21"/>
              </w:rPr>
              <w:t>광고 노출률보다 CTR·실효 CPC·전환율.</w:t>
            </w:r>
          </w:p>
        </w:tc>
      </w:tr>
    </w:tbl>
    <w:p>
      <w:pPr>
        <w:spacing w:after="120"/>
      </w:pPr>
    </w:p>
    <w:p>
      <w:pPr>
        <w:spacing w:before="200" w:after="80"/>
      </w:pPr>
      <w:r>
        <w:rPr>
          <w:rFonts w:ascii="맑은 고딕" w:hAnsi="맑은 고딕" w:eastAsia="맑은 고딕"/>
          <w:b/>
          <w:i w:val="0"/>
          <w:color w:val="1E407C"/>
          <w:sz w:val="26"/>
        </w:rPr>
        <w:t>9-1. 근거가 가장 강한 신호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마이크론의 16개 장기 SCA와 약 1,000억 달러 잔여계약의무.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메모리 비용이 서버 시스템 가격 인상으로 전가될 정도의 가격협상력.</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HBM 단일제품이 아니라 HBM–HBF–SSD 전체 메모리 계층으로 확장되는 전략.</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Google과 ChatGPT 모두 상업성 AI 질의에서 광고 재고를 형성하기 시작한 점.</w:t>
      </w:r>
    </w:p>
    <w:p>
      <w:pPr>
        <w:spacing w:before="200" w:after="80"/>
      </w:pPr>
      <w:r>
        <w:rPr>
          <w:rFonts w:ascii="맑은 고딕" w:hAnsi="맑은 고딕" w:eastAsia="맑은 고딕"/>
          <w:b/>
          <w:i w:val="0"/>
          <w:color w:val="1E407C"/>
          <w:sz w:val="26"/>
        </w:rPr>
        <w:t>9-2. 추가 검증이 필요한 신호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MCP 수출 증가가 실제 HBM bit shipment 증가인지.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DRAM 모듈 수출중량 감소가 출하 시점인지 실수요 둔화인지.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로보티즈 우즈베키스탄 공장의 수율·Q 시리즈 마진.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에스피지 SDD 5,000대 목표의 실제 발주·출하 전환.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ChatGPT 광고의 CTR·실효 CPC·전환율.</w:t>
      </w:r>
    </w:p>
    <w:p>
      <w:pPr>
        <w:spacing w:before="200" w:after="80"/>
      </w:pPr>
      <w:r>
        <w:rPr>
          <w:rFonts w:ascii="맑은 고딕" w:hAnsi="맑은 고딕" w:eastAsia="맑은 고딕"/>
          <w:b/>
          <w:i w:val="0"/>
          <w:color w:val="1E407C"/>
          <w:sz w:val="26"/>
        </w:rPr>
        <w:t>9-3. 현재 투자 근거로 사용하면 안 되는 것</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쓰지 말 것</w:t>
            </w:r>
          </w:p>
          <w:p>
            <w:pPr>
              <w:spacing w:after="20" w:before="0" w:line="276" w:lineRule="auto"/>
            </w:pPr>
            <w:r>
              <w:rPr>
                <w:rFonts w:ascii="맑은 고딕" w:hAnsi="맑은 고딕" w:eastAsia="맑은 고딕"/>
                <w:b w:val="0"/>
                <w:i w:val="0"/>
                <w:color w:val="1A1A1A"/>
                <w:sz w:val="21"/>
              </w:rPr>
              <w:t>트럼프 행정부가 Apple의 CXMT·YMTC 구매를 승인할 것이라는 웨이보발 루머. 공식 발표 전에는 시나리오 분기점으로만 관리한다.</w:t>
            </w:r>
          </w:p>
        </w:tc>
      </w:tr>
    </w:tbl>
    <w:p>
      <w:pPr>
        <w:spacing w:after="120"/>
      </w:pPr>
    </w:p>
    <w:p>
      <w:pPr>
        <w:spacing w:before="200" w:after="80"/>
      </w:pPr>
      <w:r>
        <w:rPr>
          <w:rFonts w:ascii="맑은 고딕" w:hAnsi="맑은 고딕" w:eastAsia="맑은 고딕"/>
          <w:b/>
          <w:i w:val="0"/>
          <w:color w:val="1E407C"/>
          <w:sz w:val="26"/>
        </w:rPr>
        <w:t>9-4. 배포 체크리스트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확인할 문장</w:t>
            </w:r>
          </w:p>
        </w:tc>
        <w:tc>
          <w:tcPr>
            <w:tcW w:type="dxa" w:w="691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통과 조건</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150%</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분모가 ‘확약 가능 공급량’으로 쓰였는가</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 사이클</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사라짐이 아니라 진폭 완충으로 쓰였는가</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HBM을 포함하되 HBM과 등치하지 않았는가</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NVIDIA 15%</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서버 시스템 가격·비공식 보도로 쓰였는가</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Apple–CXMT</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승인 예정이 아니라 루머·반대 보도로 쓰였는가</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모듈 ASP</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USD/kg이며 중량 감소를 같이 적었는가</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SDD 무게</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90% 경량화가 아니라 무게의 90%인가</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SDD 5,000대</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목표·추진이지 확정 PO가 아닌가</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광고 노출률</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상업성 표본·Free·Go가 붙었는가</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$3~$5</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권장 최대 입찰가로 쓰였는가</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A.  </w:t>
      </w:r>
      <w:r>
        <w:rPr>
          <w:rFonts w:ascii="맑은 고딕" w:hAnsi="맑은 고딕" w:eastAsia="맑은 고딕"/>
          <w:b/>
          <w:i w:val="0"/>
          <w:color w:val="0F2043"/>
          <w:sz w:val="32"/>
        </w:rPr>
        <w:t>부록. 자료 목록과 용어</w:t>
      </w:r>
    </w:p>
    <w:p>
      <w:pPr>
        <w:spacing w:before="200" w:after="80"/>
      </w:pPr>
      <w:r>
        <w:rPr>
          <w:rFonts w:ascii="맑은 고딕" w:hAnsi="맑은 고딕" w:eastAsia="맑은 고딕"/>
          <w:b/>
          <w:i w:val="0"/>
          <w:color w:val="1E407C"/>
          <w:sz w:val="26"/>
        </w:rPr>
        <w:t>A-1. 주요 출처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CNBC / Quartz, 2026-08-20 — 마이크론 CEO, 데이터센터 요구량이 commit 가능 물량보다 약 50% 많음.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Reuters, 2026-06-24 — 16개 SCA, 약 220억 달러 약정, 약 1,000억 달러 RPO, take-or-pay·예치·가격하한.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SK hynix Newsroom / Sandisk, 2026-08-03~04 — HBF 표준, 최대 512GB, 약 0.4~3.0TB/s.</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Bloomberg → Reuters, 2026-08-22 — NVIDIA AI 칩 탑재 서버 가격, 많은 경우 15% 이상. 독립 검증·공식 확인 없음.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Wccftech, 2026-08 — 웨이보발 Apple–CXMT·YMTC 승인 루머, 자체 평가 60% Plausible.</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WSJ, 2026-08 — 상무장관이 Apple에 중국산 메모리를 쓰지 말라고 요구.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머니레시피(TRASS), 2026-08-20 환산 — DRAM 모듈·MCP 수출액·USD/kg 통관단가.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미래에셋증권 — 로보티즈 목표주가·Q 시리즈·우즈벡, 에스피지 SDD 본문 서술.</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iM증권 — 에스피지 2029F EPS × P/E 60배.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SE Ranking — AI Mode 2026-06-30, ChatGPT 2026-07-23 상업성 표본.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OpenAI Help Center — CPC 캠페인 권장 최대 입찰가 $3~$5, 관련성 가중 2순위 경매.</w:t>
      </w:r>
    </w:p>
    <w:p>
      <w:pPr>
        <w:spacing w:before="200" w:after="80"/>
      </w:pPr>
      <w:r>
        <w:rPr>
          <w:rFonts w:ascii="맑은 고딕" w:hAnsi="맑은 고딕" w:eastAsia="맑은 고딕"/>
          <w:b/>
          <w:i w:val="0"/>
          <w:color w:val="1E407C"/>
          <w:sz w:val="26"/>
        </w:rPr>
        <w:t>A-2. 용어</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용어</w:t>
            </w:r>
          </w:p>
        </w:tc>
        <w:tc>
          <w:tcPr>
            <w:tcW w:type="dxa" w:w="759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레포트에서의 의미</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SCA</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Strategic Customer Agreement. 마이크론의 다년 전략 고객계약</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RPO</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Remaining Performance Obligations. 잔여계약의무</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take-or-pay</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물량을 가져가지 않아도 대금을 부담하는 조항</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HBF</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High Bandwidth Flash. HBM과 SSD 사이의 NAND 기반 계층</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Multi-Chip Package. 복합 메모리 패키지·통관 분류</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kg당 통관단가</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수출금액 ÷ 수출중량. 개별 칩 ASP가 아님</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최대 CPC 입찰가</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광고주가 설정하는 클릭당 지불 상한. 실효 CPC와 다름</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QDD</w:t>
            </w:r>
          </w:p>
        </w:tc>
        <w:tc>
          <w:tcPr>
            <w:tcW w:type="dxa" w:w="759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로보티즈 다이나믹셀 Q 시리즈의 감속·구동 모듈 계열</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SDD</w:t>
            </w:r>
          </w:p>
        </w:tc>
        <w:tc>
          <w:tcPr>
            <w:tcW w:type="dxa" w:w="759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에스피지의 로봇용 감속 구동 모듈</w:t>
            </w:r>
          </w:p>
        </w:tc>
      </w:tr>
    </w:tbl>
    <w:p>
      <w:pPr>
        <w:spacing w:after="160" w:before="40"/>
      </w:pPr>
    </w:p>
    <w:p>
      <w:pPr>
        <w:spacing w:after="120" w:before="0" w:line="283" w:lineRule="auto"/>
        <w:jc w:val="left"/>
      </w:pPr>
      <w:r>
        <w:rPr>
          <w:rFonts w:ascii="맑은 고딕" w:hAnsi="맑은 고딕" w:eastAsia="맑은 고딕"/>
          <w:b w:val="0"/>
          <w:i w:val="0"/>
          <w:color w:val="4B5563"/>
          <w:sz w:val="20"/>
        </w:rPr>
        <w:t>이 문서는 공개 보도와 증권사 리포트를 재구성한 검증 노트다. 특정 종목의 매수·매도를 권유하지 않는다.</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공개 보도·증권사 리포트 교차검증  ·  매수·매도 추천 아님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2026.8.24 투자판단 검증  ·  150% · MCP · 서버 15% · 광고 분모 · SDD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8월 24일 투자판단 검증 레포트</dc:title>
  <dc:subject>마이크론 150%, HBF, NVIDIA 서버 가격, Apple-CXMT, MCP 수출, 로보티즈·에스피지, AI 광고</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