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37B" w:rsidRDefault="00D23FC2">
      <w:pPr>
        <w:spacing w:after="0"/>
        <w:ind w:left="10" w:right="8" w:hanging="10"/>
        <w:jc w:val="center"/>
      </w:pPr>
      <w:r>
        <w:rPr>
          <w:rFonts w:ascii="맑은 고딕" w:eastAsia="맑은 고딕" w:hAnsi="맑은 고딕" w:cs="맑은 고딕"/>
          <w:sz w:val="80"/>
        </w:rPr>
        <w:t xml:space="preserve">Computational </w:t>
      </w:r>
    </w:p>
    <w:p w:rsidR="00CD537B" w:rsidRDefault="00D23FC2">
      <w:pPr>
        <w:spacing w:after="157"/>
        <w:ind w:left="10" w:right="6" w:hanging="10"/>
        <w:jc w:val="center"/>
        <w:rPr>
          <w:rFonts w:ascii="맑은 고딕" w:eastAsia="맑은 고딕" w:hAnsi="맑은 고딕" w:cs="맑은 고딕"/>
          <w:sz w:val="80"/>
        </w:rPr>
      </w:pPr>
      <w:r>
        <w:rPr>
          <w:rFonts w:ascii="맑은 고딕" w:eastAsia="맑은 고딕" w:hAnsi="맑은 고딕" w:cs="맑은 고딕"/>
          <w:sz w:val="80"/>
        </w:rPr>
        <w:t>Microelectronics</w:t>
      </w:r>
      <w:r w:rsidR="00884A02">
        <w:rPr>
          <w:rFonts w:ascii="맑은 고딕" w:eastAsia="맑은 고딕" w:hAnsi="맑은 고딕" w:cs="맑은 고딕"/>
          <w:sz w:val="80"/>
        </w:rPr>
        <w:t xml:space="preserve"> [HW-5]</w:t>
      </w:r>
      <w:r>
        <w:rPr>
          <w:rFonts w:ascii="맑은 고딕" w:eastAsia="맑은 고딕" w:hAnsi="맑은 고딕" w:cs="맑은 고딕"/>
          <w:sz w:val="80"/>
        </w:rPr>
        <w:t xml:space="preserve"> </w:t>
      </w:r>
    </w:p>
    <w:p w:rsidR="00884A02" w:rsidRDefault="00884A02">
      <w:pPr>
        <w:spacing w:after="157"/>
        <w:ind w:left="10" w:right="6" w:hanging="10"/>
        <w:jc w:val="center"/>
        <w:rPr>
          <w:rFonts w:hint="eastAsia"/>
        </w:rPr>
      </w:pPr>
    </w:p>
    <w:p w:rsidR="00CD537B" w:rsidRDefault="00D23FC2">
      <w:pPr>
        <w:spacing w:after="0"/>
      </w:pPr>
      <w:r>
        <w:rPr>
          <w:rFonts w:ascii="맑은 고딕" w:eastAsia="맑은 고딕" w:hAnsi="맑은 고딕" w:cs="맑은 고딕"/>
          <w:sz w:val="80"/>
        </w:rPr>
        <w:t xml:space="preserve"> </w:t>
      </w:r>
    </w:p>
    <w:p w:rsidR="00CD537B" w:rsidRDefault="00D23FC2">
      <w:pPr>
        <w:spacing w:after="156"/>
        <w:ind w:left="10" w:right="-13" w:hanging="10"/>
        <w:jc w:val="right"/>
        <w:rPr>
          <w:rFonts w:ascii="맑은 고딕" w:eastAsia="맑은 고딕" w:hAnsi="맑은 고딕" w:cs="맑은 고딕"/>
          <w:sz w:val="40"/>
        </w:rPr>
      </w:pPr>
      <w:r>
        <w:rPr>
          <w:rFonts w:ascii="맑은 고딕" w:eastAsia="맑은 고딕" w:hAnsi="맑은 고딕" w:cs="맑은 고딕"/>
          <w:sz w:val="40"/>
        </w:rPr>
        <w:t xml:space="preserve">Professor: Sung-Min Hong </w:t>
      </w:r>
    </w:p>
    <w:p w:rsidR="006B02EB" w:rsidRDefault="006B02EB">
      <w:pPr>
        <w:spacing w:after="156"/>
        <w:ind w:left="10" w:right="-13" w:hanging="10"/>
        <w:jc w:val="right"/>
      </w:pPr>
      <w:r>
        <w:rPr>
          <w:rFonts w:ascii="맑은 고딕" w:eastAsia="맑은 고딕" w:hAnsi="맑은 고딕" w:cs="맑은 고딕"/>
          <w:sz w:val="40"/>
        </w:rPr>
        <w:t xml:space="preserve">Data: 18/10/08 </w:t>
      </w:r>
    </w:p>
    <w:p w:rsidR="00CD537B" w:rsidRDefault="00D23FC2">
      <w:pPr>
        <w:spacing w:after="156"/>
        <w:ind w:left="10" w:right="-13" w:hanging="10"/>
        <w:jc w:val="right"/>
      </w:pPr>
      <w:r>
        <w:rPr>
          <w:rFonts w:ascii="맑은 고딕" w:eastAsia="맑은 고딕" w:hAnsi="맑은 고딕" w:cs="맑은 고딕"/>
          <w:sz w:val="40"/>
        </w:rPr>
        <w:t xml:space="preserve">Student ID: 20172106 </w:t>
      </w:r>
    </w:p>
    <w:p w:rsidR="00CD537B" w:rsidRDefault="00D23FC2">
      <w:pPr>
        <w:pStyle w:val="1"/>
        <w:ind w:right="-13"/>
      </w:pPr>
      <w:r>
        <w:t xml:space="preserve">Student name: Hyo Seok, Kim </w:t>
      </w:r>
    </w:p>
    <w:p w:rsidR="00CD537B" w:rsidRDefault="00D23FC2">
      <w:pPr>
        <w:spacing w:after="75"/>
      </w:pPr>
      <w:r>
        <w:rPr>
          <w:rFonts w:ascii="맑은 고딕" w:eastAsia="맑은 고딕" w:hAnsi="맑은 고딕" w:cs="맑은 고딕"/>
          <w:sz w:val="40"/>
        </w:rPr>
        <w:t xml:space="preserve"> </w:t>
      </w:r>
    </w:p>
    <w:p w:rsidR="00CD537B" w:rsidRDefault="00D23FC2">
      <w:pPr>
        <w:numPr>
          <w:ilvl w:val="0"/>
          <w:numId w:val="1"/>
        </w:numPr>
        <w:spacing w:after="3"/>
        <w:ind w:left="948" w:hanging="562"/>
      </w:pPr>
      <w:r>
        <w:rPr>
          <w:rFonts w:ascii="Arial" w:eastAsia="Arial" w:hAnsi="Arial" w:cs="Arial"/>
          <w:sz w:val="40"/>
        </w:rPr>
        <w:t xml:space="preserve">Simulation explanation </w:t>
      </w:r>
    </w:p>
    <w:p w:rsidR="004D168A" w:rsidRDefault="006A7490">
      <w:pPr>
        <w:spacing w:after="337"/>
        <w:ind w:left="761"/>
        <w:rPr>
          <w:rFonts w:ascii="Arial" w:eastAsiaTheme="minorEastAsia" w:hAnsi="Arial" w:cs="Arial"/>
          <w:sz w:val="24"/>
        </w:rPr>
      </w:pPr>
      <w:r w:rsidRPr="004D168A">
        <w:rPr>
          <w:rFonts w:ascii="Arial" w:eastAsiaTheme="minorEastAsia" w:hAnsi="Arial" w:cs="Arial"/>
          <w:sz w:val="24"/>
        </w:rPr>
        <w:t>In the previous lecture, we have learned the Newton method. So we are going to calculate the electrostatic potential by using the Newton method</w:t>
      </w:r>
      <w:r w:rsidR="004D168A">
        <w:rPr>
          <w:rFonts w:ascii="Arial" w:eastAsiaTheme="minorEastAsia" w:hAnsi="Arial" w:cs="Arial"/>
          <w:sz w:val="24"/>
        </w:rPr>
        <w:t xml:space="preserve"> and compare the numerical results with the analytic results in order to know the utility of the Newton method. The governing equation is as follows.</w:t>
      </w:r>
    </w:p>
    <w:p w:rsidR="00800F4F" w:rsidRPr="004D168A" w:rsidRDefault="004D168A" w:rsidP="004D168A">
      <w:pPr>
        <w:spacing w:after="337"/>
        <w:ind w:left="761"/>
        <w:jc w:val="center"/>
        <w:rPr>
          <w:rFonts w:ascii="Arial" w:eastAsiaTheme="minorEastAsia" w:hAnsi="Arial" w:cs="Arial"/>
          <w:sz w:val="24"/>
        </w:rPr>
      </w:pPr>
      <m:oMath>
        <m:sSup>
          <m:sSupPr>
            <m:ctrlPr>
              <w:rPr>
                <w:rFonts w:ascii="Cambria Math" w:eastAsiaTheme="minorEastAsia" w:hAnsi="Cambria Math" w:cs="Arial"/>
                <w:sz w:val="24"/>
              </w:rPr>
            </m:ctrlPr>
          </m:sSupPr>
          <m:e>
            <m:r>
              <w:rPr>
                <w:rFonts w:ascii="Cambria Math" w:eastAsiaTheme="minorEastAsia" w:hAnsi="Cambria Math" w:cs="Arial"/>
                <w:sz w:val="24"/>
              </w:rPr>
              <m:t>N</m:t>
            </m:r>
          </m:e>
          <m:sup>
            <m:r>
              <w:rPr>
                <w:rFonts w:ascii="Cambria Math" w:eastAsiaTheme="minorEastAsia" w:hAnsi="Cambria Math" w:cs="Arial"/>
                <w:sz w:val="24"/>
              </w:rPr>
              <m:t>+</m:t>
            </m:r>
          </m:sup>
        </m:sSup>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int</m:t>
            </m:r>
          </m:sub>
        </m:sSub>
        <m:sSup>
          <m:sSupPr>
            <m:ctrlPr>
              <w:rPr>
                <w:rFonts w:ascii="Cambria Math" w:eastAsiaTheme="minorEastAsia" w:hAnsi="Cambria Math" w:cs="Arial"/>
                <w:sz w:val="24"/>
              </w:rPr>
            </m:ctrlPr>
          </m:sSupPr>
          <m:e>
            <m:r>
              <w:rPr>
                <w:rFonts w:ascii="Cambria Math" w:eastAsiaTheme="minorEastAsia" w:hAnsi="Cambria Math" w:cs="Arial"/>
                <w:sz w:val="24"/>
              </w:rPr>
              <m:t>e</m:t>
            </m:r>
          </m:e>
          <m:sup>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ϕ</m:t>
                </m:r>
              </m:num>
              <m:den>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T</m:t>
                    </m:r>
                  </m:sub>
                </m:sSub>
              </m:den>
            </m:f>
          </m:sup>
        </m:sSup>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int</m:t>
            </m:r>
          </m:sub>
        </m:sSub>
        <m:sSup>
          <m:sSupPr>
            <m:ctrlPr>
              <w:rPr>
                <w:rFonts w:ascii="Cambria Math" w:eastAsiaTheme="minorEastAsia" w:hAnsi="Cambria Math" w:cs="Arial"/>
                <w:sz w:val="24"/>
              </w:rPr>
            </m:ctrlPr>
          </m:sSupPr>
          <m:e>
            <m:r>
              <w:rPr>
                <w:rFonts w:ascii="Cambria Math" w:eastAsiaTheme="minorEastAsia" w:hAnsi="Cambria Math" w:cs="Arial"/>
                <w:sz w:val="24"/>
              </w:rPr>
              <m:t>e</m:t>
            </m:r>
          </m:e>
          <m:sup>
            <m:f>
              <m:fPr>
                <m:ctrlPr>
                  <w:rPr>
                    <w:rFonts w:ascii="Cambria Math" w:eastAsiaTheme="minorEastAsia" w:hAnsi="Cambria Math" w:cs="Arial"/>
                    <w:i/>
                    <w:sz w:val="24"/>
                  </w:rPr>
                </m:ctrlPr>
              </m:fPr>
              <m:num>
                <m:r>
                  <w:rPr>
                    <w:rFonts w:ascii="Cambria Math" w:eastAsiaTheme="minorEastAsia" w:hAnsi="Cambria Math" w:cs="Arial"/>
                    <w:sz w:val="24"/>
                  </w:rPr>
                  <m:t>ϕ</m:t>
                </m:r>
              </m:num>
              <m:den>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T</m:t>
                    </m:r>
                  </m:sub>
                </m:sSub>
              </m:den>
            </m:f>
          </m:sup>
        </m:sSup>
        <m:r>
          <m:rPr>
            <m:sty m:val="p"/>
          </m:rPr>
          <w:rPr>
            <w:rFonts w:ascii="Cambria Math" w:eastAsiaTheme="minorEastAsia" w:hAnsi="Cambria Math" w:cs="Arial"/>
            <w:sz w:val="24"/>
          </w:rPr>
          <m:t>=</m:t>
        </m:r>
        <m:r>
          <m:rPr>
            <m:sty m:val="p"/>
          </m:rPr>
          <w:rPr>
            <w:rFonts w:ascii="Cambria Math" w:eastAsiaTheme="minorEastAsia" w:hAnsi="Cambria Math" w:cs="Arial"/>
            <w:sz w:val="24"/>
          </w:rPr>
          <m:t>0</m:t>
        </m:r>
      </m:oMath>
      <w:r>
        <w:rPr>
          <w:rFonts w:ascii="Arial" w:eastAsiaTheme="minorEastAsia" w:hAnsi="Arial" w:cs="Arial" w:hint="eastAsia"/>
          <w:sz w:val="24"/>
        </w:rPr>
        <w:t xml:space="preserve"> </w:t>
      </w:r>
      <w:r>
        <w:rPr>
          <w:rFonts w:ascii="Arial" w:eastAsiaTheme="minorEastAsia" w:hAnsi="Arial" w:cs="Arial"/>
          <w:sz w:val="24"/>
        </w:rPr>
        <w:t xml:space="preserve">  – </w:t>
      </w:r>
      <w:r>
        <w:rPr>
          <w:rFonts w:ascii="Arial" w:eastAsiaTheme="minorEastAsia" w:hAnsi="Arial" w:cs="Arial" w:hint="eastAsia"/>
          <w:sz w:val="24"/>
        </w:rPr>
        <w:t>(</w:t>
      </w:r>
      <w:r>
        <w:rPr>
          <w:rFonts w:ascii="Arial" w:eastAsiaTheme="minorEastAsia" w:hAnsi="Arial" w:cs="Arial"/>
          <w:sz w:val="24"/>
        </w:rPr>
        <w:t>1)</w:t>
      </w:r>
      <w:r w:rsidRPr="004D168A">
        <w:rPr>
          <w:rFonts w:ascii="Arial" w:eastAsiaTheme="minorEastAsia" w:hAnsi="Arial" w:cs="Arial"/>
          <w:sz w:val="24"/>
        </w:rPr>
        <w:br/>
      </w:r>
    </w:p>
    <w:p w:rsidR="006A7490" w:rsidRPr="003B57BE" w:rsidRDefault="004D168A">
      <w:pPr>
        <w:spacing w:after="337"/>
        <w:ind w:left="761"/>
        <w:rPr>
          <w:rFonts w:ascii="Arial" w:eastAsiaTheme="minorEastAsia" w:hAnsi="Arial" w:cs="Arial"/>
          <w:sz w:val="24"/>
          <w:szCs w:val="24"/>
        </w:rPr>
      </w:pPr>
      <w:r w:rsidRPr="003B57BE">
        <w:rPr>
          <w:rFonts w:ascii="Arial" w:eastAsiaTheme="minorEastAsia" w:hAnsi="Arial" w:cs="Arial"/>
          <w:sz w:val="24"/>
          <w:szCs w:val="24"/>
        </w:rPr>
        <w:t xml:space="preserve">We assume the room temperature. The intrinsic carrier density,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int</m:t>
            </m:r>
          </m:sub>
        </m:sSub>
      </m:oMath>
      <w:r w:rsidRPr="003B57BE">
        <w:rPr>
          <w:rFonts w:ascii="Arial" w:eastAsiaTheme="minorEastAsia" w:hAnsi="Arial" w:cs="Arial"/>
          <w:sz w:val="24"/>
          <w:szCs w:val="24"/>
        </w:rPr>
        <w:t xml:space="preserve">, of silicon at 300 K is </w:t>
      </w:r>
      <m:oMath>
        <m:sSup>
          <m:sSupPr>
            <m:ctrlPr>
              <w:rPr>
                <w:rFonts w:ascii="Cambria Math" w:eastAsiaTheme="minorEastAsia" w:hAnsi="Cambria Math" w:cs="Arial"/>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10</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cm</m:t>
            </m:r>
          </m:e>
          <m:sup>
            <m:r>
              <w:rPr>
                <w:rFonts w:ascii="Cambria Math" w:eastAsiaTheme="minorEastAsia" w:hAnsi="Cambria Math" w:cs="Arial"/>
                <w:sz w:val="24"/>
                <w:szCs w:val="24"/>
              </w:rPr>
              <m:t>-3</m:t>
            </m:r>
          </m:sup>
        </m:sSup>
      </m:oMath>
      <w:r w:rsidRPr="003B57BE">
        <w:rPr>
          <w:rFonts w:ascii="Arial" w:eastAsiaTheme="minorEastAsia" w:hAnsi="Arial" w:cs="Arial"/>
          <w:sz w:val="24"/>
          <w:szCs w:val="24"/>
        </w:rPr>
        <w:t xml:space="preserve">. Our purpose is to know the changes of the electrostatic potential under the varying positive and negative impurity densities, </w:t>
      </w:r>
      <m:oMath>
        <m:sSup>
          <m:sSupPr>
            <m:ctrlPr>
              <w:rPr>
                <w:rFonts w:ascii="Cambria Math" w:eastAsiaTheme="minorEastAsia" w:hAnsi="Cambria Math" w:cs="Arial"/>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r>
          <w:rPr>
            <w:rFonts w:ascii="Cambria Math" w:eastAsiaTheme="minorEastAsia" w:hAnsi="Cambria Math" w:cs="Arial"/>
            <w:sz w:val="24"/>
            <w:szCs w:val="24"/>
          </w:rPr>
          <m:t>&amp;</m:t>
        </m:r>
        <m:sSup>
          <m:sSupPr>
            <m:ctrlPr>
              <w:rPr>
                <w:rFonts w:ascii="Cambria Math" w:eastAsiaTheme="minorEastAsia" w:hAnsi="Cambria Math" w:cs="Arial"/>
                <w:sz w:val="24"/>
                <w:szCs w:val="24"/>
              </w:rPr>
            </m:ctrlPr>
          </m:sSupPr>
          <m:e>
            <m:r>
              <w:rPr>
                <w:rFonts w:ascii="Cambria Math" w:eastAsiaTheme="minorEastAsia" w:hAnsi="Cambria Math" w:cs="Arial"/>
                <w:sz w:val="24"/>
                <w:szCs w:val="24"/>
              </w:rPr>
              <m:t xml:space="preserve"> </m:t>
            </m:r>
            <m:r>
              <w:rPr>
                <w:rFonts w:ascii="Cambria Math" w:eastAsiaTheme="minorEastAsia" w:hAnsi="Cambria Math" w:cs="Arial"/>
                <w:sz w:val="24"/>
                <w:szCs w:val="24"/>
              </w:rPr>
              <m:t>N</m:t>
            </m:r>
          </m:e>
          <m:sup>
            <m:r>
              <w:rPr>
                <w:rFonts w:ascii="Cambria Math" w:eastAsiaTheme="minorEastAsia" w:hAnsi="Cambria Math" w:cs="Arial"/>
                <w:sz w:val="24"/>
                <w:szCs w:val="24"/>
              </w:rPr>
              <m:t>-</m:t>
            </m:r>
          </m:sup>
        </m:sSup>
      </m:oMath>
      <w:r w:rsidR="003B57BE" w:rsidRPr="003B57BE">
        <w:rPr>
          <w:rFonts w:ascii="Arial" w:eastAsiaTheme="minorEastAsia" w:hAnsi="Arial" w:cs="Arial"/>
          <w:sz w:val="24"/>
          <w:szCs w:val="24"/>
        </w:rPr>
        <w:t xml:space="preserve">, whose absolute value varies from </w:t>
      </w:r>
      <w:r w:rsidRPr="003B57BE">
        <w:rPr>
          <w:rFonts w:ascii="Arial" w:eastAsiaTheme="minorEastAsia" w:hAnsi="Arial" w:cs="Arial"/>
          <w:sz w:val="24"/>
          <w:szCs w:val="24"/>
        </w:rPr>
        <w:t xml:space="preserve"> </w:t>
      </w:r>
      <m:oMath>
        <m:sSup>
          <m:sSupPr>
            <m:ctrlPr>
              <w:rPr>
                <w:rFonts w:ascii="Cambria Math" w:eastAsiaTheme="minorEastAsia" w:hAnsi="Cambria Math" w:cs="Arial"/>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10</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cm</m:t>
            </m:r>
          </m:e>
          <m:sup>
            <m:r>
              <w:rPr>
                <w:rFonts w:ascii="Cambria Math" w:eastAsiaTheme="minorEastAsia" w:hAnsi="Cambria Math" w:cs="Arial"/>
                <w:sz w:val="24"/>
                <w:szCs w:val="24"/>
              </w:rPr>
              <m:t>-3</m:t>
            </m:r>
          </m:sup>
        </m:sSup>
      </m:oMath>
      <w:r w:rsidR="003B57BE" w:rsidRPr="003B57BE">
        <w:rPr>
          <w:rFonts w:ascii="Arial" w:eastAsiaTheme="minorEastAsia" w:hAnsi="Arial" w:cs="Arial"/>
          <w:sz w:val="24"/>
          <w:szCs w:val="24"/>
        </w:rPr>
        <w:t xml:space="preserve"> to </w:t>
      </w:r>
      <m:oMath>
        <m:sSup>
          <m:sSupPr>
            <m:ctrlPr>
              <w:rPr>
                <w:rFonts w:ascii="Cambria Math" w:eastAsiaTheme="minorEastAsia" w:hAnsi="Cambria Math" w:cs="Arial"/>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18</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cm</m:t>
            </m:r>
          </m:e>
          <m:sup>
            <m:r>
              <w:rPr>
                <w:rFonts w:ascii="Cambria Math" w:eastAsiaTheme="minorEastAsia" w:hAnsi="Cambria Math" w:cs="Arial"/>
                <w:sz w:val="24"/>
                <w:szCs w:val="24"/>
              </w:rPr>
              <m:t>-3</m:t>
            </m:r>
          </m:sup>
        </m:sSup>
      </m:oMath>
      <w:r w:rsidR="003B57BE" w:rsidRPr="003B57BE">
        <w:rPr>
          <w:rFonts w:ascii="Arial" w:eastAsiaTheme="minorEastAsia" w:hAnsi="Arial" w:cs="Arial"/>
          <w:sz w:val="24"/>
          <w:szCs w:val="24"/>
        </w:rPr>
        <w:t>.</w:t>
      </w:r>
    </w:p>
    <w:p w:rsidR="00800F4F" w:rsidRPr="003B57BE" w:rsidRDefault="003B57BE" w:rsidP="006A7490">
      <w:pPr>
        <w:spacing w:after="337"/>
        <w:ind w:left="761"/>
        <w:rPr>
          <w:rFonts w:ascii="Arial" w:eastAsiaTheme="minorEastAsia" w:hAnsi="Arial" w:cs="Arial"/>
          <w:sz w:val="24"/>
          <w:szCs w:val="24"/>
        </w:rPr>
      </w:pPr>
      <w:r w:rsidRPr="003B57BE">
        <w:rPr>
          <w:rFonts w:ascii="Arial" w:eastAsiaTheme="minorEastAsia" w:hAnsi="Arial" w:cs="Arial"/>
          <w:sz w:val="24"/>
          <w:szCs w:val="24"/>
        </w:rPr>
        <w:t>When we simulated the results,</w:t>
      </w:r>
      <w:r w:rsidR="00800F4F" w:rsidRPr="003B57BE">
        <w:rPr>
          <w:rFonts w:ascii="Arial" w:eastAsiaTheme="minorEastAsia" w:hAnsi="Arial" w:cs="Arial"/>
          <w:sz w:val="24"/>
          <w:szCs w:val="24"/>
        </w:rPr>
        <w:t xml:space="preserve"> </w:t>
      </w:r>
      <w:r w:rsidRPr="003B57BE">
        <w:rPr>
          <w:rFonts w:ascii="Arial" w:eastAsiaTheme="minorEastAsia" w:hAnsi="Arial" w:cs="Arial"/>
          <w:sz w:val="24"/>
          <w:szCs w:val="24"/>
        </w:rPr>
        <w:t>the p</w:t>
      </w:r>
      <w:r w:rsidR="00800F4F" w:rsidRPr="003B57BE">
        <w:rPr>
          <w:rFonts w:ascii="Arial" w:eastAsiaTheme="minorEastAsia" w:hAnsi="Arial" w:cs="Arial"/>
          <w:sz w:val="24"/>
          <w:szCs w:val="24"/>
        </w:rPr>
        <w:t>arameter</w:t>
      </w:r>
      <w:r w:rsidRPr="003B57BE">
        <w:rPr>
          <w:rFonts w:ascii="Arial" w:eastAsiaTheme="minorEastAsia" w:hAnsi="Arial" w:cs="Arial"/>
          <w:sz w:val="24"/>
          <w:szCs w:val="24"/>
        </w:rPr>
        <w:t>s</w:t>
      </w:r>
      <w:r w:rsidR="00800F4F" w:rsidRPr="003B57BE">
        <w:rPr>
          <w:rFonts w:ascii="Arial" w:eastAsiaTheme="minorEastAsia" w:hAnsi="Arial" w:cs="Arial"/>
          <w:sz w:val="24"/>
          <w:szCs w:val="24"/>
        </w:rPr>
        <w:t xml:space="preserve"> </w:t>
      </w:r>
      <w:r w:rsidRPr="003B57BE">
        <w:rPr>
          <w:rFonts w:ascii="Arial" w:eastAsiaTheme="minorEastAsia" w:hAnsi="Arial" w:cs="Arial"/>
          <w:sz w:val="24"/>
          <w:szCs w:val="24"/>
        </w:rPr>
        <w:t>under the consideration are shown in the table below.</w:t>
      </w:r>
    </w:p>
    <w:tbl>
      <w:tblPr>
        <w:tblStyle w:val="a3"/>
        <w:tblW w:w="0" w:type="auto"/>
        <w:tblInd w:w="761" w:type="dxa"/>
        <w:tblLook w:val="04A0" w:firstRow="1" w:lastRow="0" w:firstColumn="1" w:lastColumn="0" w:noHBand="0" w:noVBand="1"/>
      </w:tblPr>
      <w:tblGrid>
        <w:gridCol w:w="4119"/>
        <w:gridCol w:w="4140"/>
      </w:tblGrid>
      <w:tr w:rsidR="00800F4F" w:rsidTr="00423CD8">
        <w:tc>
          <w:tcPr>
            <w:tcW w:w="4119" w:type="dxa"/>
          </w:tcPr>
          <w:p w:rsidR="00800F4F" w:rsidRPr="00800F4F" w:rsidRDefault="00800F4F" w:rsidP="00800F4F">
            <w:pPr>
              <w:widowControl w:val="0"/>
              <w:autoSpaceDE w:val="0"/>
              <w:autoSpaceDN w:val="0"/>
              <w:adjustRightInd w:val="0"/>
              <w:rPr>
                <w:rFonts w:ascii="Courier New" w:eastAsiaTheme="minorEastAsia" w:hAnsi="Courier New" w:cs="Courier New"/>
                <w:color w:val="auto"/>
                <w:kern w:val="0"/>
                <w:sz w:val="18"/>
                <w:szCs w:val="24"/>
              </w:rPr>
            </w:pPr>
            <w:r w:rsidRPr="00800F4F">
              <w:rPr>
                <w:rFonts w:ascii="Courier New" w:eastAsiaTheme="minorEastAsia" w:hAnsi="Courier New" w:cs="Courier New"/>
                <w:color w:val="228B22"/>
                <w:kern w:val="0"/>
                <w:sz w:val="18"/>
                <w:szCs w:val="20"/>
              </w:rPr>
              <w:lastRenderedPageBreak/>
              <w:t>Elementary charge, [C]</w:t>
            </w:r>
          </w:p>
        </w:tc>
        <w:tc>
          <w:tcPr>
            <w:tcW w:w="4140" w:type="dxa"/>
          </w:tcPr>
          <w:p w:rsidR="00800F4F" w:rsidRPr="00800F4F" w:rsidRDefault="00800F4F" w:rsidP="00800F4F">
            <w:pPr>
              <w:widowControl w:val="0"/>
              <w:autoSpaceDE w:val="0"/>
              <w:autoSpaceDN w:val="0"/>
              <w:adjustRightInd w:val="0"/>
              <w:rPr>
                <w:rFonts w:ascii="Courier New" w:eastAsiaTheme="minorEastAsia" w:hAnsi="Courier New" w:cs="Courier New"/>
                <w:color w:val="auto"/>
                <w:kern w:val="0"/>
                <w:sz w:val="24"/>
                <w:szCs w:val="24"/>
              </w:rPr>
            </w:pPr>
            <w:r>
              <w:rPr>
                <w:rFonts w:ascii="Courier New" w:eastAsiaTheme="minorEastAsia" w:hAnsi="Courier New" w:cs="Courier New"/>
                <w:kern w:val="0"/>
                <w:sz w:val="20"/>
                <w:szCs w:val="20"/>
              </w:rPr>
              <w:t>1.602192e-19</w:t>
            </w:r>
          </w:p>
        </w:tc>
      </w:tr>
      <w:tr w:rsidR="00800F4F" w:rsidTr="00423CD8">
        <w:tc>
          <w:tcPr>
            <w:tcW w:w="4119" w:type="dxa"/>
          </w:tcPr>
          <w:p w:rsidR="00800F4F" w:rsidRPr="00800F4F" w:rsidRDefault="00800F4F" w:rsidP="00800F4F">
            <w:pPr>
              <w:widowControl w:val="0"/>
              <w:autoSpaceDE w:val="0"/>
              <w:autoSpaceDN w:val="0"/>
              <w:adjustRightInd w:val="0"/>
              <w:rPr>
                <w:rFonts w:ascii="Courier New" w:eastAsiaTheme="minorEastAsia" w:hAnsi="Courier New" w:cs="Courier New"/>
                <w:color w:val="auto"/>
                <w:kern w:val="0"/>
                <w:sz w:val="18"/>
                <w:szCs w:val="24"/>
              </w:rPr>
            </w:pPr>
            <w:r w:rsidRPr="00800F4F">
              <w:rPr>
                <w:rFonts w:ascii="Courier New" w:eastAsiaTheme="minorEastAsia" w:hAnsi="Courier New" w:cs="Courier New"/>
                <w:color w:val="228B22"/>
                <w:kern w:val="0"/>
                <w:sz w:val="18"/>
                <w:szCs w:val="20"/>
              </w:rPr>
              <w:t>Vacuum permittivity, [F/m]</w:t>
            </w:r>
          </w:p>
        </w:tc>
        <w:tc>
          <w:tcPr>
            <w:tcW w:w="4140" w:type="dxa"/>
          </w:tcPr>
          <w:p w:rsidR="00800F4F" w:rsidRPr="00800F4F" w:rsidRDefault="00800F4F" w:rsidP="00800F4F">
            <w:pPr>
              <w:widowControl w:val="0"/>
              <w:autoSpaceDE w:val="0"/>
              <w:autoSpaceDN w:val="0"/>
              <w:adjustRightInd w:val="0"/>
              <w:rPr>
                <w:rFonts w:ascii="Courier New" w:eastAsiaTheme="minorEastAsia" w:hAnsi="Courier New" w:cs="Courier New"/>
                <w:color w:val="auto"/>
                <w:kern w:val="0"/>
                <w:sz w:val="24"/>
                <w:szCs w:val="24"/>
              </w:rPr>
            </w:pPr>
            <w:r>
              <w:rPr>
                <w:rFonts w:ascii="Courier New" w:eastAsiaTheme="minorEastAsia" w:hAnsi="Courier New" w:cs="Courier New"/>
                <w:kern w:val="0"/>
                <w:sz w:val="20"/>
                <w:szCs w:val="20"/>
              </w:rPr>
              <w:t>8.854187817e-12</w:t>
            </w:r>
          </w:p>
        </w:tc>
      </w:tr>
      <w:tr w:rsidR="00800F4F" w:rsidTr="00423CD8">
        <w:tc>
          <w:tcPr>
            <w:tcW w:w="4119" w:type="dxa"/>
          </w:tcPr>
          <w:p w:rsidR="00800F4F" w:rsidRPr="00800F4F" w:rsidRDefault="00800F4F" w:rsidP="006B02EB">
            <w:pPr>
              <w:widowControl w:val="0"/>
              <w:autoSpaceDE w:val="0"/>
              <w:autoSpaceDN w:val="0"/>
              <w:adjustRightInd w:val="0"/>
              <w:rPr>
                <w:rFonts w:ascii="Courier New" w:eastAsiaTheme="minorEastAsia" w:hAnsi="Courier New" w:cs="Courier New"/>
                <w:color w:val="auto"/>
                <w:kern w:val="0"/>
                <w:sz w:val="18"/>
                <w:szCs w:val="24"/>
              </w:rPr>
            </w:pPr>
            <w:r w:rsidRPr="00800F4F">
              <w:rPr>
                <w:rFonts w:ascii="Courier New" w:eastAsiaTheme="minorEastAsia" w:hAnsi="Courier New" w:cs="Courier New"/>
                <w:color w:val="228B22"/>
                <w:kern w:val="0"/>
                <w:sz w:val="18"/>
                <w:szCs w:val="20"/>
              </w:rPr>
              <w:t>Boltzmann constant, [</w:t>
            </w:r>
            <w:r w:rsidR="006B02EB">
              <w:rPr>
                <w:rFonts w:ascii="Courier New" w:eastAsiaTheme="minorEastAsia" w:hAnsi="Courier New" w:cs="Courier New"/>
                <w:color w:val="228B22"/>
                <w:kern w:val="0"/>
                <w:sz w:val="18"/>
                <w:szCs w:val="20"/>
              </w:rPr>
              <w:t>eV</w:t>
            </w:r>
            <w:r w:rsidRPr="00800F4F">
              <w:rPr>
                <w:rFonts w:ascii="Courier New" w:eastAsiaTheme="minorEastAsia" w:hAnsi="Courier New" w:cs="Courier New"/>
                <w:color w:val="228B22"/>
                <w:kern w:val="0"/>
                <w:sz w:val="18"/>
                <w:szCs w:val="20"/>
              </w:rPr>
              <w:t>/K]</w:t>
            </w:r>
          </w:p>
        </w:tc>
        <w:tc>
          <w:tcPr>
            <w:tcW w:w="4140" w:type="dxa"/>
          </w:tcPr>
          <w:p w:rsidR="00800F4F" w:rsidRPr="00800F4F" w:rsidRDefault="006B02EB" w:rsidP="00800F4F">
            <w:pPr>
              <w:widowControl w:val="0"/>
              <w:autoSpaceDE w:val="0"/>
              <w:autoSpaceDN w:val="0"/>
              <w:adjustRightInd w:val="0"/>
              <w:rPr>
                <w:rFonts w:ascii="Courier New" w:eastAsiaTheme="minorEastAsia" w:hAnsi="Courier New" w:cs="Courier New" w:hint="eastAsia"/>
                <w:color w:val="auto"/>
                <w:kern w:val="0"/>
                <w:sz w:val="24"/>
                <w:szCs w:val="24"/>
              </w:rPr>
            </w:pPr>
            <w:r>
              <w:rPr>
                <w:rFonts w:ascii="Courier New" w:eastAsiaTheme="minorEastAsia" w:hAnsi="Courier New" w:cs="Courier New"/>
                <w:kern w:val="0"/>
                <w:sz w:val="20"/>
                <w:szCs w:val="20"/>
              </w:rPr>
              <w:t>8.6173303e-5</w:t>
            </w:r>
          </w:p>
        </w:tc>
      </w:tr>
      <w:tr w:rsidR="00800F4F" w:rsidTr="00423CD8">
        <w:tc>
          <w:tcPr>
            <w:tcW w:w="4119" w:type="dxa"/>
          </w:tcPr>
          <w:p w:rsidR="00800F4F" w:rsidRPr="00800F4F" w:rsidRDefault="00800F4F" w:rsidP="00800F4F">
            <w:pPr>
              <w:widowControl w:val="0"/>
              <w:autoSpaceDE w:val="0"/>
              <w:autoSpaceDN w:val="0"/>
              <w:adjustRightInd w:val="0"/>
              <w:rPr>
                <w:rFonts w:ascii="Courier New" w:eastAsiaTheme="minorEastAsia" w:hAnsi="Courier New" w:cs="Courier New"/>
                <w:color w:val="auto"/>
                <w:kern w:val="0"/>
                <w:sz w:val="18"/>
                <w:szCs w:val="24"/>
              </w:rPr>
            </w:pPr>
            <w:r w:rsidRPr="00800F4F">
              <w:rPr>
                <w:rFonts w:ascii="Courier New" w:eastAsiaTheme="minorEastAsia" w:hAnsi="Courier New" w:cs="Courier New"/>
                <w:color w:val="228B22"/>
                <w:kern w:val="0"/>
                <w:sz w:val="18"/>
                <w:szCs w:val="20"/>
              </w:rPr>
              <w:t>Temperature, [K]</w:t>
            </w:r>
          </w:p>
        </w:tc>
        <w:tc>
          <w:tcPr>
            <w:tcW w:w="4140" w:type="dxa"/>
          </w:tcPr>
          <w:p w:rsidR="00800F4F" w:rsidRPr="00800F4F" w:rsidRDefault="00800F4F" w:rsidP="00800F4F">
            <w:pPr>
              <w:widowControl w:val="0"/>
              <w:autoSpaceDE w:val="0"/>
              <w:autoSpaceDN w:val="0"/>
              <w:adjustRightInd w:val="0"/>
              <w:rPr>
                <w:rFonts w:ascii="Courier New" w:eastAsiaTheme="minorEastAsia" w:hAnsi="Courier New" w:cs="Courier New"/>
                <w:color w:val="auto"/>
                <w:kern w:val="0"/>
                <w:sz w:val="24"/>
                <w:szCs w:val="24"/>
              </w:rPr>
            </w:pPr>
            <w:r>
              <w:rPr>
                <w:rFonts w:ascii="Courier New" w:eastAsiaTheme="minorEastAsia" w:hAnsi="Courier New" w:cs="Courier New"/>
                <w:kern w:val="0"/>
                <w:sz w:val="20"/>
                <w:szCs w:val="20"/>
              </w:rPr>
              <w:t>300.0</w:t>
            </w:r>
          </w:p>
        </w:tc>
      </w:tr>
      <w:tr w:rsidR="00800F4F" w:rsidTr="00423CD8">
        <w:tc>
          <w:tcPr>
            <w:tcW w:w="4119" w:type="dxa"/>
          </w:tcPr>
          <w:p w:rsidR="00800F4F" w:rsidRPr="00800F4F" w:rsidRDefault="00800F4F" w:rsidP="00800F4F">
            <w:pPr>
              <w:widowControl w:val="0"/>
              <w:autoSpaceDE w:val="0"/>
              <w:autoSpaceDN w:val="0"/>
              <w:adjustRightInd w:val="0"/>
              <w:rPr>
                <w:rFonts w:ascii="Courier New" w:eastAsiaTheme="minorEastAsia" w:hAnsi="Courier New" w:cs="Courier New"/>
                <w:color w:val="228B22"/>
                <w:kern w:val="0"/>
                <w:sz w:val="18"/>
                <w:szCs w:val="20"/>
              </w:rPr>
            </w:pPr>
            <w:r w:rsidRPr="00800F4F">
              <w:rPr>
                <w:rFonts w:ascii="Courier New" w:eastAsiaTheme="minorEastAsia" w:hAnsi="Courier New" w:cs="Courier New"/>
                <w:color w:val="228B22"/>
                <w:kern w:val="0"/>
                <w:sz w:val="18"/>
                <w:szCs w:val="20"/>
              </w:rPr>
              <w:t>Intrinsic electron density [/</w:t>
            </w:r>
            <w:r w:rsidRPr="00800F4F">
              <w:rPr>
                <w:rFonts w:ascii="Courier New" w:eastAsiaTheme="minorEastAsia" w:hAnsi="Courier New" w:cs="Courier New" w:hint="eastAsia"/>
                <w:color w:val="228B22"/>
                <w:kern w:val="0"/>
                <w:sz w:val="18"/>
                <w:szCs w:val="20"/>
              </w:rPr>
              <w:t>cm3]</w:t>
            </w:r>
          </w:p>
        </w:tc>
        <w:tc>
          <w:tcPr>
            <w:tcW w:w="4140" w:type="dxa"/>
          </w:tcPr>
          <w:p w:rsidR="00800F4F" w:rsidRPr="00800F4F" w:rsidRDefault="00800F4F" w:rsidP="006B02EB">
            <w:pPr>
              <w:widowControl w:val="0"/>
              <w:autoSpaceDE w:val="0"/>
              <w:autoSpaceDN w:val="0"/>
              <w:adjustRightInd w:val="0"/>
              <w:rPr>
                <w:rFonts w:ascii="Courier New" w:eastAsiaTheme="minorEastAsia" w:hAnsi="Courier New" w:cs="Courier New"/>
                <w:color w:val="auto"/>
                <w:kern w:val="0"/>
                <w:sz w:val="24"/>
                <w:szCs w:val="24"/>
              </w:rPr>
            </w:pPr>
            <w:r>
              <w:rPr>
                <w:rFonts w:ascii="Courier New" w:eastAsiaTheme="minorEastAsia" w:hAnsi="Courier New" w:cs="Courier New"/>
                <w:kern w:val="0"/>
                <w:sz w:val="20"/>
                <w:szCs w:val="20"/>
              </w:rPr>
              <w:t>1.0</w:t>
            </w:r>
            <w:r w:rsidR="006B02EB">
              <w:rPr>
                <w:rFonts w:ascii="Courier New" w:eastAsiaTheme="minorEastAsia" w:hAnsi="Courier New" w:cs="Courier New"/>
                <w:kern w:val="0"/>
                <w:sz w:val="20"/>
                <w:szCs w:val="20"/>
              </w:rPr>
              <w:t>e10</w:t>
            </w:r>
          </w:p>
        </w:tc>
      </w:tr>
      <w:tr w:rsidR="006B02EB" w:rsidTr="00423CD8">
        <w:tc>
          <w:tcPr>
            <w:tcW w:w="4119" w:type="dxa"/>
          </w:tcPr>
          <w:p w:rsidR="006B02EB" w:rsidRPr="00800F4F" w:rsidRDefault="006B02EB" w:rsidP="00800F4F">
            <w:pPr>
              <w:widowControl w:val="0"/>
              <w:autoSpaceDE w:val="0"/>
              <w:autoSpaceDN w:val="0"/>
              <w:adjustRightInd w:val="0"/>
              <w:rPr>
                <w:rFonts w:ascii="Courier New" w:eastAsiaTheme="minorEastAsia" w:hAnsi="Courier New" w:cs="Courier New"/>
                <w:color w:val="228B22"/>
                <w:kern w:val="0"/>
                <w:sz w:val="18"/>
                <w:szCs w:val="20"/>
              </w:rPr>
            </w:pPr>
            <w:r>
              <w:rPr>
                <w:rFonts w:ascii="Courier New" w:eastAsiaTheme="minorEastAsia" w:hAnsi="Courier New" w:cs="Courier New" w:hint="eastAsia"/>
                <w:color w:val="228B22"/>
                <w:kern w:val="0"/>
                <w:sz w:val="18"/>
                <w:szCs w:val="20"/>
              </w:rPr>
              <w:t>Initial electrostatic potential [V]</w:t>
            </w:r>
          </w:p>
        </w:tc>
        <w:tc>
          <w:tcPr>
            <w:tcW w:w="4140" w:type="dxa"/>
          </w:tcPr>
          <w:p w:rsidR="006B02EB" w:rsidRDefault="006B02EB" w:rsidP="006B02EB">
            <w:pPr>
              <w:widowControl w:val="0"/>
              <w:autoSpaceDE w:val="0"/>
              <w:autoSpaceDN w:val="0"/>
              <w:adjustRightInd w:val="0"/>
              <w:rPr>
                <w:rFonts w:ascii="Courier New" w:eastAsiaTheme="minorEastAsia" w:hAnsi="Courier New" w:cs="Courier New"/>
                <w:kern w:val="0"/>
                <w:sz w:val="20"/>
                <w:szCs w:val="20"/>
              </w:rPr>
            </w:pPr>
            <w:r>
              <w:rPr>
                <w:rFonts w:ascii="Courier New" w:eastAsiaTheme="minorEastAsia" w:hAnsi="Courier New" w:cs="Courier New" w:hint="eastAsia"/>
                <w:kern w:val="0"/>
                <w:sz w:val="20"/>
                <w:szCs w:val="20"/>
              </w:rPr>
              <w:t>10</w:t>
            </w:r>
            <w:r w:rsidR="00BB0EF2">
              <w:rPr>
                <w:rFonts w:ascii="Courier New" w:eastAsiaTheme="minorEastAsia" w:hAnsi="Courier New" w:cs="Courier New"/>
                <w:kern w:val="0"/>
                <w:sz w:val="20"/>
                <w:szCs w:val="20"/>
              </w:rPr>
              <w:t>.0</w:t>
            </w:r>
            <w:r>
              <w:rPr>
                <w:rFonts w:ascii="Courier New" w:eastAsiaTheme="minorEastAsia" w:hAnsi="Courier New" w:cs="Courier New" w:hint="eastAsia"/>
                <w:kern w:val="0"/>
                <w:sz w:val="20"/>
                <w:szCs w:val="20"/>
              </w:rPr>
              <w:t xml:space="preserve"> V</w:t>
            </w:r>
          </w:p>
        </w:tc>
      </w:tr>
    </w:tbl>
    <w:p w:rsidR="00800F4F" w:rsidRDefault="00423CD8">
      <w:pPr>
        <w:spacing w:after="337"/>
        <w:ind w:left="761"/>
        <w:rPr>
          <w:rFonts w:eastAsiaTheme="minorEastAsia"/>
        </w:rPr>
      </w:pPr>
      <w:r w:rsidRPr="00A25508">
        <w:rPr>
          <w:rFonts w:eastAsiaTheme="minorEastAsia" w:hint="eastAsia"/>
          <w:noProof/>
          <w:color w:val="auto"/>
        </w:rPr>
        <mc:AlternateContent>
          <mc:Choice Requires="wps">
            <w:drawing>
              <wp:anchor distT="0" distB="0" distL="114300" distR="114300" simplePos="0" relativeHeight="251689984" behindDoc="0" locked="0" layoutInCell="1" allowOverlap="1" wp14:anchorId="40601649" wp14:editId="4143BBC5">
                <wp:simplePos x="0" y="0"/>
                <wp:positionH relativeFrom="margin">
                  <wp:posOffset>2114550</wp:posOffset>
                </wp:positionH>
                <wp:positionV relativeFrom="paragraph">
                  <wp:posOffset>11430</wp:posOffset>
                </wp:positionV>
                <wp:extent cx="2133600" cy="3143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133600" cy="314325"/>
                        </a:xfrm>
                        <a:prstGeom prst="rect">
                          <a:avLst/>
                        </a:prstGeom>
                        <a:noFill/>
                        <a:ln w="6350">
                          <a:noFill/>
                        </a:ln>
                      </wps:spPr>
                      <wps:txbx>
                        <w:txbxContent>
                          <w:p w:rsidR="00423CD8" w:rsidRPr="00800F4F" w:rsidRDefault="00423CD8" w:rsidP="00423CD8">
                            <w:pPr>
                              <w:rPr>
                                <w:rFonts w:eastAsiaTheme="minorEastAsia"/>
                                <w:b/>
                                <w:color w:val="auto"/>
                              </w:rPr>
                            </w:pPr>
                            <w:r>
                              <w:rPr>
                                <w:rFonts w:eastAsiaTheme="minorEastAsia"/>
                                <w:b/>
                                <w:color w:val="auto"/>
                              </w:rPr>
                              <w:t>Table.1</w:t>
                            </w:r>
                            <w:r w:rsidRPr="00800F4F">
                              <w:rPr>
                                <w:rFonts w:eastAsiaTheme="minorEastAsia"/>
                                <w:b/>
                                <w:color w:val="auto"/>
                              </w:rPr>
                              <w:t xml:space="preserve">: </w:t>
                            </w:r>
                            <w:r>
                              <w:rPr>
                                <w:rFonts w:eastAsiaTheme="minorEastAsia"/>
                                <w:b/>
                                <w:color w:val="auto"/>
                              </w:rPr>
                              <w:t>Simulation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01649" id="Text Box 23" o:spid="_x0000_s1032" type="#_x0000_t202" style="position:absolute;left:0;text-align:left;margin-left:166.5pt;margin-top:.9pt;width:168pt;height:2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" filled="f" stroked="f" strokeweight=".5pt">
                <v:textbox>
                  <w:txbxContent>
                    <w:p w:rsidR="00423CD8" w:rsidRPr="00800F4F" w:rsidRDefault="00423CD8" w:rsidP="00423CD8">
                      <w:pPr>
                        <w:rPr>
                          <w:rFonts w:eastAsiaTheme="minorEastAsia" w:hint="eastAsia"/>
                          <w:b/>
                          <w:color w:val="auto"/>
                        </w:rPr>
                      </w:pPr>
                      <w:r>
                        <w:rPr>
                          <w:rFonts w:eastAsiaTheme="minorEastAsia"/>
                          <w:b/>
                          <w:color w:val="auto"/>
                        </w:rPr>
                        <w:t>Table.</w:t>
                      </w:r>
                      <w:r>
                        <w:rPr>
                          <w:rFonts w:eastAsiaTheme="minorEastAsia"/>
                          <w:b/>
                          <w:color w:val="auto"/>
                        </w:rPr>
                        <w:t>1</w:t>
                      </w:r>
                      <w:r w:rsidRPr="00800F4F">
                        <w:rPr>
                          <w:rFonts w:eastAsiaTheme="minorEastAsia"/>
                          <w:b/>
                          <w:color w:val="auto"/>
                        </w:rPr>
                        <w:t xml:space="preserve">: </w:t>
                      </w:r>
                      <w:r>
                        <w:rPr>
                          <w:rFonts w:eastAsiaTheme="minorEastAsia"/>
                          <w:b/>
                          <w:color w:val="auto"/>
                        </w:rPr>
                        <w:t>Simulation parameters</w:t>
                      </w:r>
                    </w:p>
                  </w:txbxContent>
                </v:textbox>
                <w10:wrap anchorx="margin"/>
              </v:shape>
            </w:pict>
          </mc:Fallback>
        </mc:AlternateContent>
      </w:r>
    </w:p>
    <w:p w:rsidR="00423CD8" w:rsidRPr="00800F4F" w:rsidRDefault="00423CD8">
      <w:pPr>
        <w:spacing w:after="337"/>
        <w:ind w:left="761"/>
        <w:rPr>
          <w:rFonts w:eastAsiaTheme="minorEastAsia"/>
        </w:rPr>
      </w:pPr>
    </w:p>
    <w:p w:rsidR="00CD537B" w:rsidRPr="006A7490" w:rsidRDefault="00D23FC2">
      <w:pPr>
        <w:numPr>
          <w:ilvl w:val="0"/>
          <w:numId w:val="1"/>
        </w:numPr>
        <w:spacing w:after="3"/>
        <w:ind w:left="948" w:hanging="562"/>
      </w:pPr>
      <w:r>
        <w:rPr>
          <w:rFonts w:ascii="Arial" w:eastAsia="Arial" w:hAnsi="Arial" w:cs="Arial"/>
          <w:sz w:val="40"/>
        </w:rPr>
        <w:t xml:space="preserve">Result and discussion </w:t>
      </w:r>
    </w:p>
    <w:p w:rsidR="003B57BE" w:rsidRDefault="003B57BE" w:rsidP="003B57BE">
      <w:pPr>
        <w:keepNext/>
        <w:spacing w:after="3"/>
        <w:ind w:left="948"/>
      </w:pPr>
      <w:r>
        <w:rPr>
          <w:rFonts w:eastAsiaTheme="minorEastAs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57.25pt;height:192.75pt">
            <v:imagedata r:id="rId7" o:title="fig_1"/>
          </v:shape>
        </w:pict>
      </w:r>
    </w:p>
    <w:p w:rsidR="006A7490" w:rsidRPr="003B57BE" w:rsidRDefault="003B57BE" w:rsidP="003B57BE">
      <w:pPr>
        <w:pStyle w:val="a4"/>
        <w:rPr>
          <w:rFonts w:eastAsiaTheme="minorEastAsia"/>
          <w:sz w:val="24"/>
        </w:rPr>
      </w:pPr>
      <w:r>
        <w:t xml:space="preserve">Figure </w:t>
      </w:r>
      <w:fldSimple w:instr=" SEQ Figure \* ARABIC ">
        <w:r w:rsidR="00B65468">
          <w:rPr>
            <w:noProof/>
          </w:rPr>
          <w:t>1</w:t>
        </w:r>
      </w:fldSimple>
      <w:r>
        <w:t>. The variation of the potential for the changing impurity densities for the cases of both of the numerical and the analytic solutions</w:t>
      </w:r>
    </w:p>
    <w:p w:rsidR="003B57BE" w:rsidRPr="00B65468" w:rsidRDefault="00B65468" w:rsidP="003B57BE">
      <w:pPr>
        <w:spacing w:after="3"/>
        <w:ind w:left="948"/>
        <w:rPr>
          <w:rFonts w:ascii="Arial" w:eastAsiaTheme="minorEastAsia" w:hAnsi="Arial" w:cs="Arial"/>
          <w:sz w:val="24"/>
        </w:rPr>
      </w:pPr>
      <w:r w:rsidRPr="00B65468">
        <w:rPr>
          <w:rFonts w:ascii="Arial" w:eastAsiaTheme="minorEastAsia" w:hAnsi="Arial" w:cs="Arial"/>
          <w:sz w:val="24"/>
        </w:rPr>
        <w:t>As a result of Figure 1, we can know that the newton method is the good numerical method to get the estimated values to the analytic values.</w:t>
      </w:r>
    </w:p>
    <w:p w:rsidR="00B65468" w:rsidRPr="00B65468" w:rsidRDefault="00B65468" w:rsidP="003B57BE">
      <w:pPr>
        <w:spacing w:after="3"/>
        <w:ind w:left="948"/>
        <w:rPr>
          <w:rFonts w:ascii="Arial" w:eastAsiaTheme="minorEastAsia" w:hAnsi="Arial" w:cs="Arial"/>
          <w:sz w:val="24"/>
        </w:rPr>
      </w:pPr>
    </w:p>
    <w:p w:rsidR="00B65468" w:rsidRPr="00B65468" w:rsidRDefault="00B65468" w:rsidP="003B57BE">
      <w:pPr>
        <w:spacing w:after="3"/>
        <w:ind w:left="948"/>
        <w:rPr>
          <w:rFonts w:ascii="Arial" w:eastAsiaTheme="minorEastAsia" w:hAnsi="Arial" w:cs="Arial"/>
          <w:sz w:val="24"/>
        </w:rPr>
      </w:pPr>
      <w:r w:rsidRPr="00B65468">
        <w:rPr>
          <w:rFonts w:ascii="Arial" w:eastAsiaTheme="minorEastAsia" w:hAnsi="Arial" w:cs="Arial"/>
          <w:sz w:val="24"/>
        </w:rPr>
        <w:t>In order to know the accurate error between the numerical values through the Newton method and the analytic values, we can plot the graph for the relation of the error for the potentials with the corresponding impurity densities. You can see these in the Figure 2.</w:t>
      </w:r>
    </w:p>
    <w:p w:rsidR="00B65468" w:rsidRDefault="00B65468" w:rsidP="00B65468">
      <w:pPr>
        <w:keepNext/>
        <w:spacing w:after="3"/>
        <w:ind w:left="948"/>
      </w:pPr>
      <w:r>
        <w:rPr>
          <w:rFonts w:eastAsiaTheme="minorEastAsia"/>
          <w:sz w:val="24"/>
        </w:rPr>
        <w:lastRenderedPageBreak/>
        <w:pict>
          <v:shape id="_x0000_i1049" type="#_x0000_t75" style="width:338.25pt;height:253.5pt">
            <v:imagedata r:id="rId8" o:title="fig_2"/>
          </v:shape>
        </w:pict>
      </w:r>
    </w:p>
    <w:p w:rsidR="00B65468" w:rsidRDefault="00B65468" w:rsidP="00B65468">
      <w:pPr>
        <w:pStyle w:val="a4"/>
      </w:pPr>
      <w:r>
        <w:t xml:space="preserve">Figure </w:t>
      </w:r>
      <w:fldSimple w:instr=" SEQ Figure \* ARABIC ">
        <w:r>
          <w:rPr>
            <w:noProof/>
          </w:rPr>
          <w:t>2</w:t>
        </w:r>
      </w:fldSimple>
      <w:r>
        <w:t>. The error for potential between the numerical and analytic solutions</w:t>
      </w:r>
      <w:r>
        <w:rPr>
          <w:noProof/>
        </w:rPr>
        <w:t xml:space="preserve"> via the changing impurity densities. the above graph is for N+ and the below graph is for N-.</w:t>
      </w:r>
    </w:p>
    <w:p w:rsidR="00B65468" w:rsidRDefault="00B65468" w:rsidP="003B57BE">
      <w:pPr>
        <w:spacing w:after="3"/>
        <w:ind w:left="948"/>
        <w:rPr>
          <w:rFonts w:eastAsiaTheme="minorEastAsia"/>
          <w:sz w:val="24"/>
        </w:rPr>
      </w:pPr>
      <w:r>
        <w:rPr>
          <w:rFonts w:eastAsiaTheme="minorEastAsia"/>
          <w:sz w:val="24"/>
        </w:rPr>
        <w:t xml:space="preserve"> </w:t>
      </w:r>
    </w:p>
    <w:p w:rsidR="00B65468" w:rsidRPr="00C978CA" w:rsidRDefault="00B65468" w:rsidP="003B57BE">
      <w:pPr>
        <w:spacing w:after="3"/>
        <w:ind w:left="948"/>
        <w:rPr>
          <w:rFonts w:ascii="Arial" w:eastAsiaTheme="minorEastAsia" w:hAnsi="Arial" w:cs="Arial"/>
          <w:sz w:val="24"/>
        </w:rPr>
      </w:pPr>
      <w:r w:rsidRPr="00C978CA">
        <w:rPr>
          <w:rFonts w:ascii="Arial" w:eastAsiaTheme="minorEastAsia" w:hAnsi="Arial" w:cs="Arial"/>
          <w:sz w:val="24"/>
        </w:rPr>
        <w:t xml:space="preserve">The range of the error for potentials is in </w:t>
      </w:r>
      <m:oMath>
        <m:sSup>
          <m:sSupPr>
            <m:ctrlPr>
              <w:rPr>
                <w:rFonts w:ascii="Cambria Math" w:eastAsiaTheme="minorEastAsia" w:hAnsi="Cambria Math" w:cs="Arial"/>
                <w:sz w:val="24"/>
              </w:rPr>
            </m:ctrlPr>
          </m:sSupPr>
          <m:e>
            <m:r>
              <w:rPr>
                <w:rFonts w:ascii="Cambria Math" w:eastAsiaTheme="minorEastAsia" w:hAnsi="Cambria Math" w:cs="Arial"/>
                <w:sz w:val="24"/>
              </w:rPr>
              <m:t>1</m:t>
            </m:r>
          </m:e>
          <m:sup>
            <m:r>
              <w:rPr>
                <w:rFonts w:ascii="Cambria Math" w:eastAsiaTheme="minorEastAsia" w:hAnsi="Cambria Math" w:cs="Arial"/>
                <w:sz w:val="24"/>
              </w:rPr>
              <m:t>-13</m:t>
            </m:r>
          </m:sup>
        </m:sSup>
        <m:r>
          <w:rPr>
            <w:rFonts w:ascii="Cambria Math" w:eastAsiaTheme="minorEastAsia" w:hAnsi="Cambria Math" w:cs="Arial"/>
            <w:sz w:val="24"/>
          </w:rPr>
          <m:t xml:space="preserve"> %</m:t>
        </m:r>
      </m:oMath>
      <w:r w:rsidRPr="00C978CA">
        <w:rPr>
          <w:rFonts w:ascii="Arial" w:eastAsiaTheme="minorEastAsia" w:hAnsi="Arial" w:cs="Arial"/>
          <w:sz w:val="24"/>
        </w:rPr>
        <w:t xml:space="preserve"> . So we can trust the result by using Newton method.</w:t>
      </w:r>
    </w:p>
    <w:p w:rsidR="003B57BE" w:rsidRPr="00B65468" w:rsidRDefault="003B57BE" w:rsidP="003B57BE">
      <w:pPr>
        <w:spacing w:after="3"/>
        <w:ind w:left="948"/>
        <w:rPr>
          <w:rFonts w:eastAsiaTheme="minorEastAsia" w:hint="eastAsia"/>
          <w:sz w:val="24"/>
        </w:rPr>
      </w:pPr>
      <w:bookmarkStart w:id="0" w:name="_GoBack"/>
      <w:bookmarkEnd w:id="0"/>
    </w:p>
    <w:sectPr w:rsidR="003B57BE" w:rsidRPr="00B65468">
      <w:pgSz w:w="11906" w:h="16838"/>
      <w:pgMar w:top="1697" w:right="1436" w:bottom="1643"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ACB" w:rsidRDefault="00701ACB" w:rsidP="00884A02">
      <w:pPr>
        <w:spacing w:after="0" w:line="240" w:lineRule="auto"/>
      </w:pPr>
      <w:r>
        <w:separator/>
      </w:r>
    </w:p>
  </w:endnote>
  <w:endnote w:type="continuationSeparator" w:id="0">
    <w:p w:rsidR="00701ACB" w:rsidRDefault="00701ACB" w:rsidP="0088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ACB" w:rsidRDefault="00701ACB" w:rsidP="00884A02">
      <w:pPr>
        <w:spacing w:after="0" w:line="240" w:lineRule="auto"/>
      </w:pPr>
      <w:r>
        <w:separator/>
      </w:r>
    </w:p>
  </w:footnote>
  <w:footnote w:type="continuationSeparator" w:id="0">
    <w:p w:rsidR="00701ACB" w:rsidRDefault="00701ACB" w:rsidP="00884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C00BE"/>
    <w:multiLevelType w:val="hybridMultilevel"/>
    <w:tmpl w:val="6FF6D21A"/>
    <w:lvl w:ilvl="0" w:tplc="C2F48EE8">
      <w:start w:val="1"/>
      <w:numFmt w:val="decimal"/>
      <w:lvlText w:val="%1."/>
      <w:lvlJc w:val="left"/>
      <w:pPr>
        <w:ind w:left="94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1EE281A">
      <w:start w:val="1"/>
      <w:numFmt w:val="lowerLetter"/>
      <w:lvlText w:val="%2"/>
      <w:lvlJc w:val="left"/>
      <w:pPr>
        <w:ind w:left="14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B4D6FB8E">
      <w:start w:val="1"/>
      <w:numFmt w:val="lowerRoman"/>
      <w:lvlText w:val="%3"/>
      <w:lvlJc w:val="left"/>
      <w:pPr>
        <w:ind w:left="220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2E7EF346">
      <w:start w:val="1"/>
      <w:numFmt w:val="decimal"/>
      <w:lvlText w:val="%4"/>
      <w:lvlJc w:val="left"/>
      <w:pPr>
        <w:ind w:left="292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7602C060">
      <w:start w:val="1"/>
      <w:numFmt w:val="lowerLetter"/>
      <w:lvlText w:val="%5"/>
      <w:lvlJc w:val="left"/>
      <w:pPr>
        <w:ind w:left="364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CAB2C1F4">
      <w:start w:val="1"/>
      <w:numFmt w:val="lowerRoman"/>
      <w:lvlText w:val="%6"/>
      <w:lvlJc w:val="left"/>
      <w:pPr>
        <w:ind w:left="436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4A10DAE6">
      <w:start w:val="1"/>
      <w:numFmt w:val="decimal"/>
      <w:lvlText w:val="%7"/>
      <w:lvlJc w:val="left"/>
      <w:pPr>
        <w:ind w:left="50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F16E416">
      <w:start w:val="1"/>
      <w:numFmt w:val="lowerLetter"/>
      <w:lvlText w:val="%8"/>
      <w:lvlJc w:val="left"/>
      <w:pPr>
        <w:ind w:left="580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B74A3272">
      <w:start w:val="1"/>
      <w:numFmt w:val="lowerRoman"/>
      <w:lvlText w:val="%9"/>
      <w:lvlJc w:val="left"/>
      <w:pPr>
        <w:ind w:left="652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7B"/>
    <w:rsid w:val="00325E1E"/>
    <w:rsid w:val="003315A2"/>
    <w:rsid w:val="003B57BE"/>
    <w:rsid w:val="00423CD8"/>
    <w:rsid w:val="00445E21"/>
    <w:rsid w:val="004D168A"/>
    <w:rsid w:val="006A7490"/>
    <w:rsid w:val="006B02EB"/>
    <w:rsid w:val="00701ACB"/>
    <w:rsid w:val="00800F4F"/>
    <w:rsid w:val="00884A02"/>
    <w:rsid w:val="00A25508"/>
    <w:rsid w:val="00B65468"/>
    <w:rsid w:val="00BB0EF2"/>
    <w:rsid w:val="00C978CA"/>
    <w:rsid w:val="00CD537B"/>
    <w:rsid w:val="00D23F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316B0"/>
  <w15:docId w15:val="{812B99CB-DF50-4EE9-8C33-CC903486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left"/>
    </w:pPr>
    <w:rPr>
      <w:rFonts w:ascii="Calibri" w:eastAsia="Calibri" w:hAnsi="Calibri" w:cs="Calibri"/>
      <w:color w:val="000000"/>
      <w:sz w:val="22"/>
    </w:rPr>
  </w:style>
  <w:style w:type="paragraph" w:styleId="1">
    <w:name w:val="heading 1"/>
    <w:next w:val="a"/>
    <w:link w:val="1Char"/>
    <w:uiPriority w:val="9"/>
    <w:unhideWhenUsed/>
    <w:qFormat/>
    <w:pPr>
      <w:keepNext/>
      <w:keepLines/>
      <w:spacing w:after="156"/>
      <w:ind w:left="10" w:right="2" w:hanging="10"/>
      <w:jc w:val="right"/>
      <w:outlineLvl w:val="0"/>
    </w:pPr>
    <w:rPr>
      <w:rFonts w:ascii="맑은 고딕" w:eastAsia="맑은 고딕" w:hAnsi="맑은 고딕" w:cs="맑은 고딕"/>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rPr>
      <w:rFonts w:ascii="맑은 고딕" w:eastAsia="맑은 고딕" w:hAnsi="맑은 고딕" w:cs="맑은 고딕"/>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80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23CD8"/>
    <w:rPr>
      <w:b/>
      <w:bCs/>
      <w:sz w:val="20"/>
      <w:szCs w:val="20"/>
    </w:rPr>
  </w:style>
  <w:style w:type="paragraph" w:styleId="a5">
    <w:name w:val="header"/>
    <w:basedOn w:val="a"/>
    <w:link w:val="Char"/>
    <w:uiPriority w:val="99"/>
    <w:unhideWhenUsed/>
    <w:rsid w:val="00884A02"/>
    <w:pPr>
      <w:tabs>
        <w:tab w:val="center" w:pos="4513"/>
        <w:tab w:val="right" w:pos="9026"/>
      </w:tabs>
      <w:snapToGrid w:val="0"/>
    </w:pPr>
  </w:style>
  <w:style w:type="character" w:customStyle="1" w:styleId="Char">
    <w:name w:val="머리글 Char"/>
    <w:basedOn w:val="a0"/>
    <w:link w:val="a5"/>
    <w:uiPriority w:val="99"/>
    <w:rsid w:val="00884A02"/>
    <w:rPr>
      <w:rFonts w:ascii="Calibri" w:eastAsia="Calibri" w:hAnsi="Calibri" w:cs="Calibri"/>
      <w:color w:val="000000"/>
      <w:sz w:val="22"/>
    </w:rPr>
  </w:style>
  <w:style w:type="paragraph" w:styleId="a6">
    <w:name w:val="footer"/>
    <w:basedOn w:val="a"/>
    <w:link w:val="Char0"/>
    <w:uiPriority w:val="99"/>
    <w:unhideWhenUsed/>
    <w:rsid w:val="00884A02"/>
    <w:pPr>
      <w:tabs>
        <w:tab w:val="center" w:pos="4513"/>
        <w:tab w:val="right" w:pos="9026"/>
      </w:tabs>
      <w:snapToGrid w:val="0"/>
    </w:pPr>
  </w:style>
  <w:style w:type="character" w:customStyle="1" w:styleId="Char0">
    <w:name w:val="바닥글 Char"/>
    <w:basedOn w:val="a0"/>
    <w:link w:val="a6"/>
    <w:uiPriority w:val="99"/>
    <w:rsid w:val="00884A02"/>
    <w:rPr>
      <w:rFonts w:ascii="Calibri" w:eastAsia="Calibri" w:hAnsi="Calibri" w:cs="Calibri"/>
      <w:color w:val="000000"/>
      <w:sz w:val="22"/>
    </w:rPr>
  </w:style>
  <w:style w:type="character" w:styleId="a7">
    <w:name w:val="Placeholder Text"/>
    <w:basedOn w:val="a0"/>
    <w:uiPriority w:val="99"/>
    <w:semiHidden/>
    <w:rsid w:val="004D16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dc:creator>
  <cp:keywords/>
  <cp:lastModifiedBy>khs</cp:lastModifiedBy>
  <cp:revision>2</cp:revision>
  <dcterms:created xsi:type="dcterms:W3CDTF">2018-10-07T18:31:00Z</dcterms:created>
  <dcterms:modified xsi:type="dcterms:W3CDTF">2018-10-07T18:31:00Z</dcterms:modified>
</cp:coreProperties>
</file>