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579012300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text" w:horzAnchor="text" w:leftFromText="187" w:rightFromText="187" w:tblpX="1138" w:tblpY="4004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Ana Mihajlović, 95/2020</w:t>
            </w:r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/>
            </w:r>
          </w:p>
        </w:tc>
      </w:tr>
    </w:tbl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956024610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1690579706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202160070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Uroš Dragojević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60050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Istorija izmena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Uvod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 veb aplikaciji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Kratak pregled rezultata testiranja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SQL injection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 (SQL injection)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Cross-site scripting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Zaključak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Persons aplikacije, uneti sledeći kod u input polje “First Name”:</w:t>
      </w:r>
    </w:p>
    <w:p>
      <w:pPr>
        <w:pStyle w:val="Normal"/>
        <w:rPr/>
      </w:pPr>
      <w:r>
        <w:rPr/>
        <w:tab/>
        <w:t xml:space="preserve">komentar'); insert into persons(firstName, lastName, email) </w:t>
        <w:tab/>
        <w:t xml:space="preserve">values('intruderFirst', 'intruderLast', </w:t>
      </w:r>
      <w:hyperlink r:id="rId2">
        <w:r>
          <w:rPr>
            <w:rStyle w:val="InternetLink"/>
          </w:rPr>
          <w:t>'intruder@gmail.com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55880</wp:posOffset>
            </wp:positionH>
            <wp:positionV relativeFrom="paragraph">
              <wp:posOffset>152400</wp:posOffset>
            </wp:positionV>
            <wp:extent cx="5619750" cy="3095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3928110</wp:posOffset>
            </wp:positionV>
            <wp:extent cx="5731510" cy="2439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O</w:t>
      </w:r>
      <w:r>
        <w:rPr/>
        <w:t>dbran</w:t>
      </w:r>
      <w:r>
        <w:rPr/>
        <w:t>a</w:t>
      </w:r>
      <w:r>
        <w:rPr/>
        <w:t>:</w:t>
      </w:r>
    </w:p>
    <w:p>
      <w:pPr>
        <w:pStyle w:val="Normal"/>
        <w:rPr/>
      </w:pPr>
      <w:r>
        <w:rPr/>
        <w:t>Koristimo klasu PreparedStatement umesto klase Statement.</w:t>
      </w:r>
    </w:p>
    <w:p>
      <w:pPr>
        <w:pStyle w:val="Heading1"/>
        <w:rPr/>
      </w:pPr>
      <w:bookmarkStart w:id="7" w:name="_Toc160050516"/>
      <w:r>
        <w:rPr/>
        <w:t>Cross-site scripting</w:t>
      </w:r>
      <w:bookmarkEnd w:id="7"/>
    </w:p>
    <w:p>
      <w:pPr>
        <w:pStyle w:val="Heading2"/>
        <w:rPr/>
      </w:pPr>
      <w:bookmarkStart w:id="8" w:name="_Toc160050517"/>
      <w:r>
        <w:rPr/>
        <w:t>Napad: Ubacivanje novog usera u tabelu “persons”</w:t>
      </w:r>
      <w:bookmarkEnd w:id="8"/>
    </w:p>
    <w:p>
      <w:pPr>
        <w:pStyle w:val="Heading3"/>
        <w:rPr/>
      </w:pPr>
      <w:bookmarkStart w:id="9" w:name="_Toc160050518"/>
      <w:r>
        <w:rPr/>
        <w:t>Metod napada:</w:t>
      </w:r>
      <w:bookmarkEnd w:id="9"/>
    </w:p>
    <w:p>
      <w:pPr>
        <w:pStyle w:val="Normal"/>
        <w:rPr/>
      </w:pPr>
      <w:r>
        <w:rPr/>
        <w:t xml:space="preserve">Injektiramo novog korisnika u tabelu persons koji ce kao polje da ima malicioznu skriptu. </w:t>
      </w:r>
    </w:p>
    <w:p>
      <w:pPr>
        <w:pStyle w:val="Normal"/>
        <w:rPr/>
      </w:pPr>
      <w:r>
        <w:rPr/>
        <w:t>komentar’); insert into persons(firstName, lastName, email) values ('Maliciozni','Uljez','&lt;img src="x" onerror="alert(document.cookie)"/&gt;</w:t>
      </w:r>
    </w:p>
    <w:p>
      <w:pPr>
        <w:pStyle w:val="Heading2"/>
        <w:rPr/>
      </w:pPr>
      <w:bookmarkStart w:id="10" w:name="_Toc160050519"/>
      <w:r>
        <w:rPr/>
        <w:t>Predlog odbrane:</w:t>
      </w:r>
      <w:bookmarkEnd w:id="10"/>
    </w:p>
    <w:p>
      <w:pPr>
        <w:pStyle w:val="Normal"/>
        <w:rPr/>
      </w:pPr>
      <w:r>
        <w:rPr/>
        <w:t xml:space="preserve">U persons.html menjam innerHTML u textContent kako bi tretirali polja koja se unose kao obican tekst. </w:t>
      </w:r>
    </w:p>
    <w:p>
      <w:pPr>
        <w:pStyle w:val="Heading1"/>
        <w:rPr/>
      </w:pPr>
      <w:bookmarkStart w:id="11" w:name="_Toc1600505161"/>
      <w:r>
        <w:rPr/>
        <w:t>C</w:t>
      </w:r>
      <w:bookmarkEnd w:id="11"/>
      <w:r>
        <w:rPr/>
        <w:t>ross-site request forgery</w:t>
      </w:r>
    </w:p>
    <w:p>
      <w:pPr>
        <w:pStyle w:val="Heading2"/>
        <w:rPr/>
      </w:pPr>
      <w:bookmarkStart w:id="12" w:name="_Toc1600505171"/>
      <w:r>
        <w:rPr/>
        <w:t>Napad: Ubacivanje novog usera u tabelu “persons”</w:t>
      </w:r>
      <w:bookmarkEnd w:id="12"/>
    </w:p>
    <w:p>
      <w:pPr>
        <w:pStyle w:val="Heading3"/>
        <w:rPr/>
      </w:pPr>
      <w:bookmarkStart w:id="13" w:name="_Toc1600505181"/>
      <w:r>
        <w:rPr/>
        <w:t>Metod napada:</w:t>
      </w:r>
      <w:bookmarkEnd w:id="13"/>
    </w:p>
    <w:p>
      <w:pPr>
        <w:pStyle w:val="Normal"/>
        <w:rPr/>
      </w:pPr>
      <w:r>
        <w:rPr/>
        <w:t xml:space="preserve">Navodimo korisnika da klikne dugme na stranici što će u pozadini poslati zahtev serveru za promenu podatka u bazi.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7772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520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4" w:name="_Toc1600505191"/>
      <w:r>
        <w:rPr/>
        <w:t>Predlog odbrane:</w:t>
      </w:r>
      <w:bookmarkEnd w:id="14"/>
    </w:p>
    <w:p>
      <w:pPr>
        <w:pStyle w:val="Normal"/>
        <w:rPr/>
      </w:pPr>
      <w:r>
        <w:rPr/>
        <w:t xml:space="preserve">Dodajemo token, server će pri svakom zahtevu da proverava da li primljeni token odgovara onom uskladištenom u podacima sesije korisnika. </w:t>
      </w:r>
    </w:p>
    <w:p>
      <w:pPr>
        <w:pStyle w:val="Normal"/>
        <w:rPr/>
      </w:pPr>
      <w:r>
        <w:rPr/>
        <w:t>Metod person u klasi PersonController je zadužen za prikazivanje stranice za promenu detalja korisnika. Dodajemo kod koji čita token iz sesije I upisuje ga u model kako bi omogućili da token bude upisan deo HTML stranice za promenu detalja korisnika.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02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person.htlm – stranica za promenu detalja korisnika </w:t>
      </w:r>
    </w:p>
    <w:p>
      <w:pPr>
        <w:pStyle w:val="Normal"/>
        <w:rPr/>
      </w:pPr>
      <w:r>
        <w:rPr/>
        <w:t>u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-28575</wp:posOffset>
            </wp:positionH>
            <wp:positionV relativeFrom="paragraph">
              <wp:posOffset>488950</wp:posOffset>
            </wp:positionV>
            <wp:extent cx="5731510" cy="7607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formu dodajemo input koji će da sadrži vrednost csrf tokena (čitamo iz modela). Token će biti poslat svaki put kada se izvrši submit forme.</w:t>
      </w:r>
    </w:p>
    <w:p>
      <w:pPr>
        <w:pStyle w:val="Normal"/>
        <w:rPr/>
      </w:pPr>
      <w:r>
        <w:rPr/>
        <w:t>U PersonsController dodajemo proveru tokena nakon svakog submita korisnika.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Toc160050520"/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179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  <w:r>
        <w:rPr/>
        <w:t>Zaključak</w:t>
      </w:r>
    </w:p>
    <w:p>
      <w:pPr>
        <w:pStyle w:val="Normal"/>
        <w:spacing w:before="0" w:after="160"/>
        <w:rPr>
          <w:lang w:val="sr-Latn-RS"/>
        </w:rPr>
      </w:pPr>
      <w:r>
        <w:rPr/>
        <w:t>Implementirane su popravke za SQL Injection, XSS I CSRF.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intruder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8</Pages>
  <Words>406</Words>
  <Characters>2502</Characters>
  <CharactersWithSpaces>2832</CharactersWithSpaces>
  <Paragraphs>73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en-GB</dc:language>
  <cp:lastModifiedBy/>
  <dcterms:modified xsi:type="dcterms:W3CDTF">2024-04-29T17:55:08Z</dcterms:modified>
  <cp:revision>10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