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Ubicación del Capítulo en la Memoria</w:t>
      </w:r>
    </w:p>
    <w:p>
      <w:r>
        <w:t>Ubicación recomendada del capítulo:</w:t>
        <w:br/>
        <w:t>Situar “Almacenamiento Vectorial y Comparativa FAISS vs ChromaDB” tras el capítulo de arquitectura del sistema/pipeline de ingesta y antes del capítulo de evaluación y resultados globales del TFM. De este modo, el lector recibe primero el diseño general de la solución, a continuación el subsistema de recuperación semántica (vector store) con su justificación y, por último, la evaluación end‑to‑end.</w:t>
      </w:r>
    </w:p>
    <w:p>
      <w:pPr>
        <w:pStyle w:val="Heading1"/>
      </w:pPr>
      <w:r>
        <w:t>1. Almacenamiento Vectorial y Comparativa FAISS vs ChromaDB</w:t>
      </w:r>
    </w:p>
    <w:p>
      <w:pPr>
        <w:pStyle w:val="Heading2"/>
      </w:pPr>
      <w:r>
        <w:t>1.1 Introducción a los Vector Stores</w:t>
      </w:r>
    </w:p>
    <w:p>
      <w:r>
        <w:t>Los vector stores son bases de datos especializadas en indexar y recuperar vectores de embeddings para realizar búsqueda semántica. En sistemas RAG, el almacenamiento vectorial permite seleccionar fragmentos relevantes de un corpus a partir de la similitud entre la representación de la consulta y la de los documentos. En el contexto de administraciones públicas, habilitan consultas naturales sobre normativa, ordenanzas y trámites.</w:t>
      </w:r>
    </w:p>
    <w:p>
      <w:pPr>
        <w:pStyle w:val="Heading2"/>
      </w:pPr>
      <w:r>
        <w:t>1.2 Fundamentos Teóricos</w:t>
      </w:r>
    </w:p>
    <w:p>
      <w:r>
        <w:t>Embeddings semánticos. Utilizamos Sentence-Transformers para convertir texto en vectores densos; se evaluaron dos modelos en este TFM: all-MiniLM-L6-v2 (dim=384) e intfloat/multilingual-e5-base (dim=768). También se referencia BAAI/bge-m3 como candidato multilingüe avanzado.</w:t>
      </w:r>
    </w:p>
    <w:p>
      <w:r>
        <w:t>Métricas de similitud: se emplea similitud coseno; en FAISS se usa producto interno con normalización L2 (equivalente a coseno).</w:t>
      </w:r>
    </w:p>
    <w:p>
      <w:pPr>
        <w:pStyle w:val="Heading2"/>
      </w:pPr>
      <w:r>
        <w:t>1.3 FAISS (Facebook AI Similarity Search)</w:t>
      </w:r>
    </w:p>
    <w:p>
      <w:r>
        <w:t>Arquitectura técnica: IndexFlatIP con normalización L2 en embeddings y queries.</w:t>
      </w:r>
    </w:p>
    <w:p>
      <w:r>
        <w:t>Ejemplo de implementación:</w:t>
      </w:r>
    </w:p>
    <w:p>
      <w:r>
        <w:t>import faiss</w:t>
        <w:br/>
        <w:t>import numpy as np</w:t>
        <w:br/>
        <w:br/>
        <w:t># Normalización L2 para similitud coseno</w:t>
        <w:br/>
        <w:t>faiss.normalize_L2(embeddings)</w:t>
        <w:br/>
        <w:t>index = faiss.IndexFlatIP(dimension)</w:t>
        <w:br/>
      </w:r>
    </w:p>
    <w:p>
      <w:r>
        <w:t>Ventajas: búsqueda exacta (recall 100% respecto al índice), artefactos compactos. Limitaciones: coste lineal con N·D y mayor latencia a gran escala.</w:t>
      </w:r>
    </w:p>
    <w:p>
      <w:pPr>
        <w:pStyle w:val="Heading2"/>
      </w:pPr>
      <w:r>
        <w:t>1.4 ChromaDB</w:t>
      </w:r>
    </w:p>
    <w:p>
      <w:r>
        <w:t>Arquitectura técnica: HNSW (Hierarchical Navigable Small World) con métrica coseno en cliente persistente.</w:t>
      </w:r>
    </w:p>
    <w:p>
      <w:r>
        <w:t>Ejemplo de implementación:</w:t>
      </w:r>
    </w:p>
    <w:p>
      <w:r>
        <w:t>import chromadb</w:t>
        <w:br/>
        <w:t>client = chromadb.PersistentClient(path="models/chroma/collection")</w:t>
        <w:br/>
        <w:t>collection = client.get_or_create_collection(name="chunks_default", metadata={"hnsw:space": "cosine"})</w:t>
        <w:br/>
      </w:r>
    </w:p>
    <w:p>
      <w:r>
        <w:t>Ventajas: baja latencia (ANN), filtrado por metadatos, escalabilidad sublineal. Limitaciones: recall aproximado (&lt;100%), complejidad de parametrización HNSW.</w:t>
      </w:r>
    </w:p>
    <w:p>
      <w:pPr>
        <w:pStyle w:val="Heading2"/>
      </w:pPr>
      <w:r>
        <w:t>1.5 Arquitectura Común Implementada</w:t>
      </w:r>
    </w:p>
    <w:p>
      <w:r>
        <w:t>Pipeline de indexación unificado (scripts/index_chunks.py), gestión de artefactos (index_meta.json, index_manifest.json), trazabilidad por hash y UI administrativa /admin/vector_store.</w:t>
      </w:r>
    </w:p>
    <w:p>
      <w:pPr>
        <w:pStyle w:val="Heading1"/>
      </w:pPr>
      <w:r>
        <w:t>2. Metodología de Evaluación</w:t>
      </w:r>
    </w:p>
    <w:p>
      <w:pPr>
        <w:pStyle w:val="Heading2"/>
      </w:pPr>
      <w:r>
        <w:t>2.1 Corpus de Evaluación</w:t>
      </w:r>
    </w:p>
    <w:p>
      <w:r>
        <w:t>Corpus municipal de Onda (source_id=1) indexado como colección 'onda_docs'. El snapshot evaluado contiene n_chunks=29.834 (según index_meta.json).</w:t>
      </w:r>
    </w:p>
    <w:p>
      <w:pPr>
        <w:pStyle w:val="Heading2"/>
      </w:pPr>
      <w:r>
        <w:t>2.2 Métricas de Evaluación Implementadas</w:t>
      </w:r>
    </w:p>
    <w:p>
      <w:r>
        <w:t>Recall@k: R@k = |relevant ∩ retrieved@k| / |relevant|; MRR = (1/|Q|) Σ (1/rank_i). Se reportan además p50/p95 de latencia, y tasa text@k (si el texto contiene el patrón esperado).</w:t>
      </w:r>
    </w:p>
    <w:p>
      <w:pPr>
        <w:pStyle w:val="Heading2"/>
      </w:pPr>
      <w:r>
        <w:t>2.3 Protocolo de Evaluación</w:t>
      </w:r>
    </w:p>
    <w:p>
      <w:r>
        <w:t>Consultas en español (n=11). Evaluación para k ∈ {5,10,20,40}. Para ChromaDB no se ha variado ef_search en este ciclo (queda como trabajo futuro).</w:t>
      </w:r>
    </w:p>
    <w:p>
      <w:pPr>
        <w:pStyle w:val="Heading1"/>
      </w:pPr>
      <w:r>
        <w:t>3. Resultados Experimentales</w:t>
      </w:r>
    </w:p>
    <w:p>
      <w:pPr>
        <w:pStyle w:val="Heading2"/>
      </w:pPr>
      <w:r>
        <w:t>3.1 Resultados de Construcción de Índices</w:t>
      </w:r>
    </w:p>
    <w:p>
      <w:r>
        <w:t>Tiempos y dimensiones reales para E5 (intfloat/multilingual-e5-base):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Vector Store</w:t>
            </w:r>
          </w:p>
        </w:tc>
        <w:tc>
          <w:tcPr>
            <w:tcW w:type="dxa" w:w="2160"/>
          </w:tcPr>
          <w:p>
            <w:r>
              <w:t>Tiempo Construcción (s)</w:t>
            </w:r>
          </w:p>
        </w:tc>
        <w:tc>
          <w:tcPr>
            <w:tcW w:type="dxa" w:w="2160"/>
          </w:tcPr>
          <w:p>
            <w:r>
              <w:t>Dimensión</w:t>
            </w:r>
          </w:p>
        </w:tc>
        <w:tc>
          <w:tcPr>
            <w:tcW w:type="dxa" w:w="2160"/>
          </w:tcPr>
          <w:p>
            <w:r>
              <w:t>N_Chunks</w:t>
            </w:r>
          </w:p>
        </w:tc>
      </w:tr>
      <w:tr>
        <w:tc>
          <w:tcPr>
            <w:tcW w:type="dxa" w:w="2160"/>
          </w:tcPr>
          <w:p>
            <w:r>
              <w:t>FAISS (E5)</w:t>
            </w:r>
          </w:p>
        </w:tc>
        <w:tc>
          <w:tcPr>
            <w:tcW w:type="dxa" w:w="2160"/>
          </w:tcPr>
          <w:p>
            <w:r>
              <w:t>3844.190</w:t>
            </w:r>
          </w:p>
        </w:tc>
        <w:tc>
          <w:tcPr>
            <w:tcW w:type="dxa" w:w="2160"/>
          </w:tcPr>
          <w:p>
            <w:r>
              <w:t>768</w:t>
            </w:r>
          </w:p>
        </w:tc>
        <w:tc>
          <w:tcPr>
            <w:tcW w:type="dxa" w:w="2160"/>
          </w:tcPr>
          <w:p>
            <w:r>
              <w:t>29834</w:t>
            </w:r>
          </w:p>
        </w:tc>
      </w:tr>
      <w:tr>
        <w:tc>
          <w:tcPr>
            <w:tcW w:type="dxa" w:w="2160"/>
          </w:tcPr>
          <w:p>
            <w:r>
              <w:t>ChromaDB (E5)</w:t>
            </w:r>
          </w:p>
        </w:tc>
        <w:tc>
          <w:tcPr>
            <w:tcW w:type="dxa" w:w="2160"/>
          </w:tcPr>
          <w:p>
            <w:r>
              <w:t>3901.709</w:t>
            </w:r>
          </w:p>
        </w:tc>
        <w:tc>
          <w:tcPr>
            <w:tcW w:type="dxa" w:w="2160"/>
          </w:tcPr>
          <w:p>
            <w:r>
              <w:t>768</w:t>
            </w:r>
          </w:p>
        </w:tc>
        <w:tc>
          <w:tcPr>
            <w:tcW w:type="dxa" w:w="2160"/>
          </w:tcPr>
          <w:p>
            <w:r>
              <w:t>29834</w:t>
            </w:r>
          </w:p>
        </w:tc>
      </w:tr>
    </w:tbl>
    <w:p>
      <w:pPr>
        <w:pStyle w:val="Heading2"/>
      </w:pPr>
      <w:r>
        <w:t>3.2 Métricas de Recuperación</w:t>
      </w:r>
    </w:p>
    <w:p>
      <w:r>
        <w:t>MiniLM (all-MiniLM-L6-v2):</w:t>
      </w:r>
    </w:p>
    <w:p>
      <w:r>
        <w:t>Resultados con all‑MiniLM‑L6‑v2 (dim=384):</w:t>
        <w:br/>
        <w:t>• ChromaDB — doc@20=40.0%, doc@25=60.0%, doc@30=60.0%; chunk@k≈0.0%. Latencias p50≈18.5 ms.</w:t>
        <w:br/>
        <w:t>• FAISS — doc@20=20.0%, doc@25=60.0%, doc@30=60.0%; chunk@k≈0.0%. Latencias p50≈15.9 ms.</w:t>
        <w:br/>
        <w:t>Observación: ampliar k de 20→25 elevó doc@k hasta 60% en ambos stores (caso “tasas municipales”).</w:t>
      </w:r>
    </w:p>
    <w:p>
      <w:r>
        <w:t>E5 (intfloat/multilingual-e5-base):</w:t>
      </w:r>
    </w:p>
    <w:p>
      <w:r>
        <w:t>Resultados con intfloat/multilingual‑e5‑base (dim=768):</w:t>
        <w:br/>
        <w:t>• doc@k: 40% con k=20 y 60% con k=40 en FAISS y ChromaDB; chunk@k≈20.0%.</w:t>
        <w:br/>
        <w:t>• Latencia (p50): FAISS 46.4→46.0 ms (k=20→40); ChromaDB 40.6→43.1 ms.</w:t>
        <w:br/>
        <w:t>Implicación: con k=40 se captura el documento relevante lejano con coste de latencia marginal.</w:t>
      </w:r>
    </w:p>
    <w:p>
      <w:r>
        <w:t>Fig. 1. doc@k por store (MiniLM).</w:t>
      </w:r>
    </w:p>
    <w:p>
      <w:r>
        <w:drawing>
          <wp:inline xmlns:a="http://schemas.openxmlformats.org/drawingml/2006/main" xmlns:pic="http://schemas.openxmlformats.org/drawingml/2006/picture">
            <wp:extent cx="5303520" cy="33988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nilm_docat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3988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Fig. 2. doc@k por store (E5).</w:t>
      </w:r>
    </w:p>
    <w:p>
      <w:r>
        <w:drawing>
          <wp:inline xmlns:a="http://schemas.openxmlformats.org/drawingml/2006/main" xmlns:pic="http://schemas.openxmlformats.org/drawingml/2006/picture">
            <wp:extent cx="5303520" cy="335777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5_docatk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3577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Fig. 3. Latencia p50 por k (E5).</w:t>
      </w:r>
    </w:p>
    <w:p>
      <w:r>
        <w:drawing>
          <wp:inline xmlns:a="http://schemas.openxmlformats.org/drawingml/2006/main" xmlns:pic="http://schemas.openxmlformats.org/drawingml/2006/picture">
            <wp:extent cx="5303520" cy="346333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5_p5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4633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3.3 Análisis de Top-k Overlap</w:t>
      </w:r>
    </w:p>
    <w:p>
      <w:r>
        <w:t>Se define como la intersección relativa entre los conjuntos top-k de FAISS y ChromaDB. No se midió en este ciclo; se propone como extensión futura para cuantificar divergencias.</w:t>
      </w:r>
    </w:p>
    <w:p>
      <w:pPr>
        <w:pStyle w:val="Heading1"/>
      </w:pPr>
      <w:r>
        <w:t>4. Análisis y Discusión</w:t>
      </w:r>
    </w:p>
    <w:p>
      <w:pPr>
        <w:pStyle w:val="Heading2"/>
      </w:pPr>
      <w:r>
        <w:t>4.1 Trade-offs Identificados</w:t>
      </w:r>
    </w:p>
    <w:p>
      <w:r>
        <w:t>Precisión vs Latencia: FAISS (exacto) vs ChromaDB (ANN). Escalabilidad: FAISS O(N·D) mientras Chroma reduce latencia con HNSW. Filtrado: Chroma ofrece metadatos nativos; en FAISS es post-procesado.</w:t>
      </w:r>
    </w:p>
    <w:p>
      <w:pPr>
        <w:pStyle w:val="Heading2"/>
      </w:pPr>
      <w:r>
        <w:t>4.2 Casos de Uso Recomendados</w:t>
      </w:r>
    </w:p>
    <w:p>
      <w:r>
        <w:t>FAISS: colecciones pequeñas/medias con requisitos de máxima precisión. ChromaDB: colecciones grandes y necesidades de filtrado/ANN.</w:t>
      </w:r>
    </w:p>
    <w:p>
      <w:pPr>
        <w:pStyle w:val="Heading2"/>
      </w:pPr>
      <w:r>
        <w:t>4.3 Consideraciones para Administraciones Públicas</w:t>
      </w:r>
    </w:p>
    <w:p>
      <w:r>
        <w:t>Soberanía de datos (ejecución local), auditabilidad (artefactos JSON), mantenimiento y operativa (sin dependencias externas).</w:t>
      </w:r>
    </w:p>
    <w:p>
      <w:pPr>
        <w:pStyle w:val="Heading1"/>
      </w:pPr>
      <w:r>
        <w:t>5. Conclusiones y Trabajo Futuro</w:t>
      </w:r>
    </w:p>
    <w:p>
      <w:pPr>
        <w:pStyle w:val="Heading2"/>
      </w:pPr>
      <w:r>
        <w:t>5.1 Conclusiones Principales</w:t>
      </w:r>
    </w:p>
    <w:p>
      <w:r>
        <w:t>El embedding elegido pesa más que el almacén vectorial: MiniLM requiere aumentar k para alcanzar 60% doc@k; E5 logra 40% en k=20 y 60% en k=40 en ambos stores. La latencia se mantiene en torno a 40–50 ms de mediana con E5.</w:t>
      </w:r>
    </w:p>
    <w:p>
      <w:pPr>
        <w:pStyle w:val="Heading2"/>
      </w:pPr>
      <w:r>
        <w:t>5.2 Limitaciones del Estudio</w:t>
      </w:r>
    </w:p>
    <w:p>
      <w:r>
        <w:t>Corpus específico y número limitado de consultas (n=11). No se variaron parámetros HNSW (ef_search) ni se evaluó overlap top-k.</w:t>
      </w:r>
    </w:p>
    <w:p>
      <w:pPr>
        <w:pStyle w:val="Heading2"/>
      </w:pPr>
      <w:r>
        <w:t>5.3 Trabajo Futuro</w:t>
      </w:r>
    </w:p>
    <w:p>
      <w:r>
        <w:t>Explorar BAAI/bge-m3 y parámetros HNSW, medir overlap y throughput, e integrar reranking ligero basado en señales léxicas/título sin frameworks nuevos.</w:t>
      </w:r>
    </w:p>
    <w:p>
      <w:pPr>
        <w:pStyle w:val="Heading1"/>
      </w:pPr>
      <w:r>
        <w:t>Referencias</w:t>
      </w:r>
    </w:p>
    <w:p>
      <w:r>
        <w:t>[1] J. Johnson, M. Douze, and H. Jégou, “Billion-scale similarity search with GPUs,” IEEE Trans. Big Data, 2019. (FAISS)</w:t>
      </w:r>
    </w:p>
    <w:p>
      <w:r>
        <w:t>[2] Y. A. Malkov and D. A. Yashunin, “Efficient and robust approximate nearest neighbor search using Hierarchical Navigable Small World graphs,” IEEE TPAMI, vol. 42, no. 4, pp. 824–836, 2020. (HNSW)</w:t>
      </w:r>
    </w:p>
    <w:p>
      <w:r>
        <w:t>[3] N. Reimers and I. Gurevych, “Sentence-BERT: Sentence Embeddings using Siamese BERT-Networks,” in EMNLP, 2019. (Sentence-Transformers)</w:t>
      </w:r>
    </w:p>
    <w:p>
      <w:r>
        <w:t>[4] ChromaDB Documentation, https://docs.trychroma.com/</w:t>
      </w:r>
    </w:p>
    <w:p>
      <w:r>
        <w:t>[5] HuggingFace Model Cards: all-MiniLM-L6-v2, intfloat/multilingual-e5-base, BAAI/bge-m3, https://huggingface.co/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Almacenamiento Vectorial y Comparativa FAISS vs ChromaDB</dc:title>
  <dc:subject>TFM Chatbot RAG — Capítulo sobre Vector Stores</dc:subject>
  <dc:creator>TFM_v2 • Sistema RAG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