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Ubicación del Capítulo dentro de la Memoria</w:t>
      </w:r>
    </w:p>
    <w:p>
      <w:r>
        <w:t>Se recomienda situar este capítulo tras la descripción de la arquitectura general (ingesta, almacenamiento, UI) y antes del capítulo de evaluación end-to-end. Así, el lector entiende primero el pipeline, a continuación el subsistema de recuperación semántica (vector stores) y finalmente su impacto en el RAG.</w:t>
      </w:r>
    </w:p>
    <w:p>
      <w:pPr>
        <w:pStyle w:val="Heading1"/>
      </w:pPr>
      <w:r>
        <w:t>Almacenamiento Vectorial y Comparativa FAISS vs ChromaDB — Ampliación</w:t>
      </w:r>
    </w:p>
    <w:p>
      <w:r>
        <w:t>Este anexo amplía la memoria con los experimentos realizados sobre la colección 'onda_docs' (source_id=1), comparando FAISS y ChromaDB con dos modelos de embedding: all-MiniLM-L6-v2 (384d) e intfloat/multilingual-e5-base (768d). Se incluyen resultados reales, tablas y figuras, así como recomendaciones para ampliaciones (bge-m3 y overlap top-k).</w:t>
      </w:r>
    </w:p>
    <w:p>
      <w:pPr>
        <w:pStyle w:val="Heading2"/>
      </w:pPr>
      <w:r>
        <w:t>Metodología resumida</w:t>
      </w:r>
    </w:p>
    <w:p>
      <w:r>
        <w:t>Los índices se construyen con scripts propios (index_chunks.py) generando artefactos index_meta.json e index_manifest.json para trazabilidad. La evaluación emplea scripts de comparativa y diagnóstico que calculan doc@k, chunk@k, text@k y latencias (p50/p95/mean) por store y k.</w:t>
      </w:r>
    </w:p>
    <w:p>
      <w:pPr>
        <w:pStyle w:val="Heading2"/>
      </w:pPr>
      <w:r>
        <w:t>Construcción de Índices — E5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Vector Store</w:t>
            </w:r>
          </w:p>
        </w:tc>
        <w:tc>
          <w:tcPr>
            <w:tcW w:type="dxa" w:w="2160"/>
          </w:tcPr>
          <w:p>
            <w:r>
              <w:t>Tiempo Construcción (s)</w:t>
            </w:r>
          </w:p>
        </w:tc>
        <w:tc>
          <w:tcPr>
            <w:tcW w:type="dxa" w:w="2160"/>
          </w:tcPr>
          <w:p>
            <w:r>
              <w:t>Dimensión</w:t>
            </w:r>
          </w:p>
        </w:tc>
        <w:tc>
          <w:tcPr>
            <w:tcW w:type="dxa" w:w="2160"/>
          </w:tcPr>
          <w:p>
            <w:r>
              <w:t>N_Chunks</w:t>
            </w:r>
          </w:p>
        </w:tc>
      </w:tr>
      <w:tr>
        <w:tc>
          <w:tcPr>
            <w:tcW w:type="dxa" w:w="2160"/>
          </w:tcPr>
          <w:p>
            <w:r>
              <w:t>FAISS</w:t>
            </w:r>
          </w:p>
        </w:tc>
        <w:tc>
          <w:tcPr>
            <w:tcW w:type="dxa" w:w="2160"/>
          </w:tcPr>
          <w:p>
            <w:r>
              <w:t>3844.190</w:t>
            </w:r>
          </w:p>
        </w:tc>
        <w:tc>
          <w:tcPr>
            <w:tcW w:type="dxa" w:w="2160"/>
          </w:tcPr>
          <w:p>
            <w:r>
              <w:t>768</w:t>
            </w:r>
          </w:p>
        </w:tc>
        <w:tc>
          <w:tcPr>
            <w:tcW w:type="dxa" w:w="2160"/>
          </w:tcPr>
          <w:p>
            <w:r>
              <w:t>29834</w:t>
            </w:r>
          </w:p>
        </w:tc>
      </w:tr>
      <w:tr>
        <w:tc>
          <w:tcPr>
            <w:tcW w:type="dxa" w:w="2160"/>
          </w:tcPr>
          <w:p>
            <w:r>
              <w:t>ChromaDB</w:t>
            </w:r>
          </w:p>
        </w:tc>
        <w:tc>
          <w:tcPr>
            <w:tcW w:type="dxa" w:w="2160"/>
          </w:tcPr>
          <w:p>
            <w:r>
              <w:t>3901.709</w:t>
            </w:r>
          </w:p>
        </w:tc>
        <w:tc>
          <w:tcPr>
            <w:tcW w:type="dxa" w:w="2160"/>
          </w:tcPr>
          <w:p>
            <w:r>
              <w:t>768</w:t>
            </w:r>
          </w:p>
        </w:tc>
        <w:tc>
          <w:tcPr>
            <w:tcW w:type="dxa" w:w="2160"/>
          </w:tcPr>
          <w:p>
            <w:r>
              <w:t>29834</w:t>
            </w:r>
          </w:p>
        </w:tc>
      </w:tr>
    </w:tbl>
    <w:p>
      <w:pPr>
        <w:pStyle w:val="Heading2"/>
      </w:pPr>
      <w:r>
        <w:t>Resultados — all-MiniLM-L6-v2</w:t>
      </w:r>
    </w:p>
    <w:p>
      <w:r>
        <w:t>Con MiniLM, doc@k alcanza 60% al subir k a 25–30; chunk@k≈0%. La mediana de latencia se mantiene baja (15–21 ms), con mayor variabilidad en Chroma p95.</w:t>
      </w:r>
    </w:p>
    <w:p>
      <w:r>
        <w:t>Figura 1. doc@k por store (MiniLM).</w:t>
      </w:r>
    </w:p>
    <w:p>
      <w:r>
        <w:drawing>
          <wp:inline xmlns:a="http://schemas.openxmlformats.org/drawingml/2006/main" xmlns:pic="http://schemas.openxmlformats.org/drawingml/2006/picture">
            <wp:extent cx="5303520" cy="3398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ilm_docatk_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98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Tabla 1. MiniLM — ChromaDB por k (valores reales).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doc@k</w:t>
            </w:r>
          </w:p>
        </w:tc>
        <w:tc>
          <w:tcPr>
            <w:tcW w:type="dxa" w:w="1440"/>
          </w:tcPr>
          <w:p>
            <w:r>
              <w:t>chunk@k</w:t>
            </w:r>
          </w:p>
        </w:tc>
        <w:tc>
          <w:tcPr>
            <w:tcW w:type="dxa" w:w="1440"/>
          </w:tcPr>
          <w:p>
            <w:r>
              <w:t>text@k</w:t>
            </w:r>
          </w:p>
        </w:tc>
        <w:tc>
          <w:tcPr>
            <w:tcW w:type="dxa" w:w="1440"/>
          </w:tcPr>
          <w:p>
            <w:r>
              <w:t>p50 (ms)</w:t>
            </w:r>
          </w:p>
        </w:tc>
        <w:tc>
          <w:tcPr>
            <w:tcW w:type="dxa" w:w="1440"/>
          </w:tcPr>
          <w:p>
            <w:r>
              <w:t>p95 (ms)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122.6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15.9</w:t>
            </w:r>
          </w:p>
        </w:tc>
        <w:tc>
          <w:tcPr>
            <w:tcW w:type="dxa" w:w="1440"/>
          </w:tcPr>
          <w:p>
            <w:r>
              <w:t>135.1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0.364</w:t>
            </w:r>
          </w:p>
        </w:tc>
        <w:tc>
          <w:tcPr>
            <w:tcW w:type="dxa" w:w="1440"/>
          </w:tcPr>
          <w:p>
            <w:r>
              <w:t>21.1</w:t>
            </w:r>
          </w:p>
        </w:tc>
        <w:tc>
          <w:tcPr>
            <w:tcW w:type="dxa" w:w="1440"/>
          </w:tcPr>
          <w:p>
            <w:r>
              <w:t>148.4</w:t>
            </w:r>
          </w:p>
        </w:tc>
      </w:tr>
    </w:tbl>
    <w:p>
      <w:r>
        <w:t>Tabla 2. MiniLM — FAISS por k (valores reales).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doc@k</w:t>
            </w:r>
          </w:p>
        </w:tc>
        <w:tc>
          <w:tcPr>
            <w:tcW w:type="dxa" w:w="1440"/>
          </w:tcPr>
          <w:p>
            <w:r>
              <w:t>chunk@k</w:t>
            </w:r>
          </w:p>
        </w:tc>
        <w:tc>
          <w:tcPr>
            <w:tcW w:type="dxa" w:w="1440"/>
          </w:tcPr>
          <w:p>
            <w:r>
              <w:t>text@k</w:t>
            </w:r>
          </w:p>
        </w:tc>
        <w:tc>
          <w:tcPr>
            <w:tcW w:type="dxa" w:w="1440"/>
          </w:tcPr>
          <w:p>
            <w:r>
              <w:t>p50 (ms)</w:t>
            </w:r>
          </w:p>
        </w:tc>
        <w:tc>
          <w:tcPr>
            <w:tcW w:type="dxa" w:w="1440"/>
          </w:tcPr>
          <w:p>
            <w:r>
              <w:t>p95 (ms)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15.9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17.9</w:t>
            </w:r>
          </w:p>
        </w:tc>
        <w:tc>
          <w:tcPr>
            <w:tcW w:type="dxa" w:w="1440"/>
          </w:tcPr>
          <w:p>
            <w:r>
              <w:t>28.7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15.5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</w:tr>
    </w:tbl>
    <w:p>
      <w:pPr>
        <w:pStyle w:val="Heading2"/>
      </w:pPr>
      <w:r>
        <w:t>Resultados — intfloat/multilingual-e5-base</w:t>
      </w:r>
    </w:p>
    <w:p>
      <w:r>
        <w:t>Con E5, doc@k=40% en k=20 y 60% en k=40 en ambos stores; chunk@k=20%. El p50 se sitúa en torno a 40–46 ms y el p95 se estabiliza tras el warm-up.</w:t>
      </w:r>
    </w:p>
    <w:p>
      <w:r>
        <w:t>Figura 2. doc@k por store (E5).</w:t>
      </w:r>
    </w:p>
    <w:p>
      <w:r>
        <w:drawing>
          <wp:inline xmlns:a="http://schemas.openxmlformats.org/drawingml/2006/main" xmlns:pic="http://schemas.openxmlformats.org/drawingml/2006/picture">
            <wp:extent cx="5303520" cy="3357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_docatk_ex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57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3. Latencia p50 por k (E5).</w:t>
      </w:r>
    </w:p>
    <w:p>
      <w:r>
        <w:drawing>
          <wp:inline xmlns:a="http://schemas.openxmlformats.org/drawingml/2006/main" xmlns:pic="http://schemas.openxmlformats.org/drawingml/2006/picture">
            <wp:extent cx="5303520" cy="34633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_p50_ex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463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Tabla 3. E5 — ChromaDB por k (valores reales).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doc@k</w:t>
            </w:r>
          </w:p>
        </w:tc>
        <w:tc>
          <w:tcPr>
            <w:tcW w:type="dxa" w:w="1440"/>
          </w:tcPr>
          <w:p>
            <w:r>
              <w:t>chunk@k</w:t>
            </w:r>
          </w:p>
        </w:tc>
        <w:tc>
          <w:tcPr>
            <w:tcW w:type="dxa" w:w="1440"/>
          </w:tcPr>
          <w:p>
            <w:r>
              <w:t>text@k</w:t>
            </w:r>
          </w:p>
        </w:tc>
        <w:tc>
          <w:tcPr>
            <w:tcW w:type="dxa" w:w="1440"/>
          </w:tcPr>
          <w:p>
            <w:r>
              <w:t>p50 (ms)</w:t>
            </w:r>
          </w:p>
        </w:tc>
        <w:tc>
          <w:tcPr>
            <w:tcW w:type="dxa" w:w="1440"/>
          </w:tcPr>
          <w:p>
            <w:r>
              <w:t>p95 (ms)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40.6</w:t>
            </w:r>
          </w:p>
        </w:tc>
        <w:tc>
          <w:tcPr>
            <w:tcW w:type="dxa" w:w="1440"/>
          </w:tcPr>
          <w:p>
            <w:r>
              <w:t>365.0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0.182</w:t>
            </w:r>
          </w:p>
        </w:tc>
        <w:tc>
          <w:tcPr>
            <w:tcW w:type="dxa" w:w="1440"/>
          </w:tcPr>
          <w:p>
            <w:r>
              <w:t>43.1</w:t>
            </w:r>
          </w:p>
        </w:tc>
        <w:tc>
          <w:tcPr>
            <w:tcW w:type="dxa" w:w="1440"/>
          </w:tcPr>
          <w:p>
            <w:r>
              <w:t>109.1</w:t>
            </w:r>
          </w:p>
        </w:tc>
      </w:tr>
    </w:tbl>
    <w:p>
      <w:r>
        <w:t>Tabla 4. E5 — FAISS por k (valores reales).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doc@k</w:t>
            </w:r>
          </w:p>
        </w:tc>
        <w:tc>
          <w:tcPr>
            <w:tcW w:type="dxa" w:w="1440"/>
          </w:tcPr>
          <w:p>
            <w:r>
              <w:t>chunk@k</w:t>
            </w:r>
          </w:p>
        </w:tc>
        <w:tc>
          <w:tcPr>
            <w:tcW w:type="dxa" w:w="1440"/>
          </w:tcPr>
          <w:p>
            <w:r>
              <w:t>text@k</w:t>
            </w:r>
          </w:p>
        </w:tc>
        <w:tc>
          <w:tcPr>
            <w:tcW w:type="dxa" w:w="1440"/>
          </w:tcPr>
          <w:p>
            <w:r>
              <w:t>p50 (ms)</w:t>
            </w:r>
          </w:p>
        </w:tc>
        <w:tc>
          <w:tcPr>
            <w:tcW w:type="dxa" w:w="1440"/>
          </w:tcPr>
          <w:p>
            <w:r>
              <w:t>p95 (ms)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0.091</w:t>
            </w:r>
          </w:p>
        </w:tc>
        <w:tc>
          <w:tcPr>
            <w:tcW w:type="dxa" w:w="1440"/>
          </w:tcPr>
          <w:p>
            <w:r>
              <w:t>46.4</w:t>
            </w:r>
          </w:p>
        </w:tc>
        <w:tc>
          <w:tcPr>
            <w:tcW w:type="dxa" w:w="1440"/>
          </w:tcPr>
          <w:p>
            <w:r>
              <w:t>121.7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0.182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95.7</w:t>
            </w:r>
          </w:p>
        </w:tc>
      </w:tr>
    </w:tbl>
    <w:p>
      <w:pPr>
        <w:pStyle w:val="Heading2"/>
      </w:pPr>
      <w:r>
        <w:t>Diagnóstico por consulta — E5 (docid_presence)</w:t>
      </w:r>
    </w:p>
    <w:p>
      <w:r>
        <w:t>k=20; probe_k=200. “gap” = rank_probe - k cuando está fuera de 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idx</w:t>
            </w:r>
          </w:p>
        </w:tc>
        <w:tc>
          <w:tcPr>
            <w:tcW w:type="dxa" w:w="960"/>
          </w:tcPr>
          <w:p>
            <w:r>
              <w:t>docid</w:t>
            </w:r>
          </w:p>
        </w:tc>
        <w:tc>
          <w:tcPr>
            <w:tcW w:type="dxa" w:w="960"/>
          </w:tcPr>
          <w:p>
            <w:r>
              <w:t>query</w:t>
            </w:r>
          </w:p>
        </w:tc>
        <w:tc>
          <w:tcPr>
            <w:tcW w:type="dxa" w:w="960"/>
          </w:tcPr>
          <w:p>
            <w:r>
              <w:t>FAISS rank@k</w:t>
            </w:r>
          </w:p>
        </w:tc>
        <w:tc>
          <w:tcPr>
            <w:tcW w:type="dxa" w:w="960"/>
          </w:tcPr>
          <w:p>
            <w:r>
              <w:t>FAISS rank@probe</w:t>
            </w:r>
          </w:p>
        </w:tc>
        <w:tc>
          <w:tcPr>
            <w:tcW w:type="dxa" w:w="960"/>
          </w:tcPr>
          <w:p>
            <w:r>
              <w:t>gap</w:t>
            </w:r>
          </w:p>
        </w:tc>
        <w:tc>
          <w:tcPr>
            <w:tcW w:type="dxa" w:w="960"/>
          </w:tcPr>
          <w:p>
            <w:r>
              <w:t>Chroma rank@k</w:t>
            </w:r>
          </w:p>
        </w:tc>
        <w:tc>
          <w:tcPr>
            <w:tcW w:type="dxa" w:w="960"/>
          </w:tcPr>
          <w:p>
            <w:r>
              <w:t>Chroma rank@probe</w:t>
            </w:r>
          </w:p>
        </w:tc>
        <w:tc>
          <w:tcPr>
            <w:tcW w:type="dxa" w:w="960"/>
          </w:tcPr>
          <w:p>
            <w:r>
              <w:t>gap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390</w:t>
            </w:r>
          </w:p>
        </w:tc>
        <w:tc>
          <w:tcPr>
            <w:tcW w:type="dxa" w:w="960"/>
          </w:tcPr>
          <w:p>
            <w:r>
              <w:t>empadronamiento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390</w:t>
            </w:r>
          </w:p>
        </w:tc>
        <w:tc>
          <w:tcPr>
            <w:tcW w:type="dxa" w:w="960"/>
          </w:tcPr>
          <w:p>
            <w:r>
              <w:t>licencia de obra menor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118</w:t>
            </w:r>
          </w:p>
        </w:tc>
        <w:tc>
          <w:tcPr>
            <w:tcW w:type="dxa" w:w="960"/>
          </w:tcPr>
          <w:p>
            <w:r>
              <w:t>plazos de presentación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tasas municipales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17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presentación telemática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</w:tbl>
    <w:p>
      <w:pPr>
        <w:pStyle w:val="Heading1"/>
      </w:pPr>
      <w:r>
        <w:t>Recomendaciones de ampliación</w:t>
      </w:r>
    </w:p>
    <w:p>
      <w:pPr>
        <w:pStyle w:val="Heading2"/>
      </w:pPr>
      <w:r>
        <w:t>BAAI/bge-m3 (propuesta de evaluación)</w:t>
      </w:r>
    </w:p>
    <w:p>
      <w:r>
        <w:t>Se recomienda evaluar bge-m3 como embedding multilingüe de alta calidad. Impacto esperado: mejora de doc@k en consultas en español y términos administrativos; coste: mayor tamaño de índice y tiempo de codificación. Mantener la misma colección y comandos de reindexación que con E5, cambiando únicamente el nombre del modelo en index_chunks.py.</w:t>
      </w:r>
    </w:p>
    <w:p>
      <w:pPr>
        <w:pStyle w:val="Heading2"/>
      </w:pPr>
      <w:r>
        <w:t>Overlap top-k FAISS↔Chroma (propuesta)</w:t>
      </w:r>
    </w:p>
    <w:p>
      <w:r>
        <w:t>Para cuantificar la divergencia entre recuperadores se propone calcular, por consulta, la similitud de Jaccard entre los conjuntos de chunk_id recuperados en top-k por FAISS y por Chroma, y reportar media/mediana por k. Esto complementa doc@k al mostrar estabilidad entre almacenes.</w:t>
      </w:r>
    </w:p>
    <w:p>
      <w:pPr>
        <w:pStyle w:val="Heading1"/>
      </w:pPr>
      <w:r>
        <w:t>Limitaciones del ciclo evaluado (precisión)</w:t>
      </w:r>
    </w:p>
    <w:p>
      <w:r>
        <w:t>Limitaciones del ciclo evaluado. Las pruebas se realizaron sobre el snapshot onda_docs (corpus municipal) con 11 consultas de validación. En este ciclo no se exploraron los hiperparámetros de HNSW (p. ej., ef_search) y no se midió el overlap top-k entre FAISS y ChromaDB; ambos quedan como trabajo futuro.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 — Almacenamiento Vectorial y Comparativa FAISS vs ChromaDB (ampliación)</dc:title>
  <dc:subject/>
  <dc:creator>TFM_v2 • Sistema RAG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