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</w:rPr>
      </w:pPr>
      <w:r>
        <w:rPr>
          <w:rFonts w:hint="default" w:ascii="宋体" w:hAnsi="宋体" w:eastAsia="宋体"/>
          <w:b/>
          <w:bCs/>
          <w:color w:val="000000"/>
          <w:sz w:val="48"/>
          <w:szCs w:val="48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141605</wp:posOffset>
            </wp:positionH>
            <wp:positionV relativeFrom="paragraph">
              <wp:posOffset>-7620</wp:posOffset>
            </wp:positionV>
            <wp:extent cx="5078095" cy="2838450"/>
            <wp:effectExtent l="0" t="0" r="1905" b="6350"/>
            <wp:wrapTopAndBottom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b/>
          <w:bCs/>
          <w:color w:val="000000"/>
          <w:sz w:val="48"/>
          <w:szCs w:val="48"/>
          <w:lang w:val="en-US" w:eastAsia="zh-CN"/>
        </w:rPr>
        <w:t>统一建模语言UML</w:t>
      </w:r>
      <w:r>
        <w:rPr>
          <w:rFonts w:hint="eastAsia"/>
          <w:b/>
          <w:bCs/>
          <w:sz w:val="48"/>
          <w:szCs w:val="48"/>
        </w:rPr>
        <w:t>报告</w:t>
      </w:r>
    </w:p>
    <w:p>
      <w:pPr>
        <w:spacing w:line="360" w:lineRule="auto"/>
        <w:jc w:val="center"/>
        <w:rPr>
          <w:rFonts w:ascii="宋体" w:hAnsi="宋体" w:eastAsia="宋体" w:cs="宋体"/>
          <w:b/>
          <w:bCs/>
          <w:sz w:val="36"/>
          <w:szCs w:val="36"/>
        </w:rPr>
      </w:pPr>
    </w:p>
    <w:tbl>
      <w:tblPr>
        <w:tblStyle w:val="3"/>
        <w:tblW w:w="0" w:type="auto"/>
        <w:tblInd w:w="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5"/>
        <w:gridCol w:w="6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before="240" w:line="276" w:lineRule="auto"/>
              <w:rPr>
                <w:rFonts w:ascii="宋体" w:hAnsi="宋体" w:eastAsia="宋体" w:cs="宋体"/>
                <w:b/>
                <w:bCs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题目：</w:t>
            </w:r>
          </w:p>
        </w:tc>
        <w:tc>
          <w:tcPr>
            <w:tcW w:w="671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spacing w:before="240"/>
              <w:jc w:val="center"/>
              <w:rPr>
                <w:rFonts w:hint="eastAsia" w:ascii="宋体" w:hAnsi="宋体" w:cs="宋体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统一建模语言UML报告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tabs>
                <w:tab w:val="left" w:pos="693"/>
              </w:tabs>
              <w:spacing w:before="240" w:line="276" w:lineRule="auto"/>
              <w:rPr>
                <w:rFonts w:ascii="宋体" w:hAnsi="宋体" w:eastAsia="宋体" w:cs="宋体"/>
                <w:b/>
                <w:bCs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学</w:t>
            </w:r>
            <w:r>
              <w:rPr>
                <w:rFonts w:ascii="宋体" w:hAnsi="宋体" w:eastAsia="宋体" w:cs="宋体"/>
                <w:b/>
                <w:bCs/>
                <w:sz w:val="28"/>
                <w:szCs w:val="28"/>
              </w:rPr>
              <w:tab/>
            </w: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院：</w:t>
            </w:r>
          </w:p>
        </w:tc>
        <w:tc>
          <w:tcPr>
            <w:tcW w:w="671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before="240"/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信息科学技术学院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before="240" w:line="276" w:lineRule="auto"/>
              <w:rPr>
                <w:rFonts w:ascii="宋体" w:hAnsi="宋体" w:eastAsia="宋体" w:cs="宋体"/>
                <w:b/>
                <w:bCs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专业：</w:t>
            </w:r>
          </w:p>
        </w:tc>
        <w:tc>
          <w:tcPr>
            <w:tcW w:w="671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before="240"/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计算机科学与技术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tabs>
                <w:tab w:val="left" w:pos="693"/>
              </w:tabs>
              <w:spacing w:before="240" w:line="276" w:lineRule="auto"/>
              <w:rPr>
                <w:rFonts w:ascii="宋体" w:hAnsi="宋体" w:eastAsia="宋体" w:cs="宋体"/>
                <w:b/>
                <w:bCs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学</w:t>
            </w:r>
            <w:r>
              <w:rPr>
                <w:rFonts w:ascii="宋体" w:hAnsi="宋体" w:eastAsia="宋体" w:cs="宋体"/>
                <w:b/>
                <w:bCs/>
                <w:sz w:val="28"/>
                <w:szCs w:val="28"/>
              </w:rPr>
              <w:tab/>
            </w: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号：</w:t>
            </w:r>
          </w:p>
        </w:tc>
        <w:tc>
          <w:tcPr>
            <w:tcW w:w="671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before="240"/>
              <w:jc w:val="center"/>
              <w:rPr>
                <w:rFonts w:hint="default" w:ascii="宋体" w:hAnsi="宋体" w:eastAsia="宋体" w:cs="宋体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en-US" w:eastAsia="zh-CN"/>
              </w:rPr>
              <w:t>200250802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tabs>
                <w:tab w:val="left" w:pos="693"/>
              </w:tabs>
              <w:spacing w:before="240" w:line="276" w:lineRule="auto"/>
              <w:rPr>
                <w:rFonts w:ascii="宋体" w:hAnsi="宋体" w:eastAsia="宋体" w:cs="宋体"/>
                <w:b/>
                <w:bCs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姓</w:t>
            </w:r>
            <w:r>
              <w:rPr>
                <w:rFonts w:ascii="宋体" w:hAnsi="宋体" w:eastAsia="宋体" w:cs="宋体"/>
                <w:b/>
                <w:bCs/>
                <w:sz w:val="28"/>
                <w:szCs w:val="28"/>
              </w:rPr>
              <w:tab/>
            </w: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名：</w:t>
            </w:r>
          </w:p>
        </w:tc>
        <w:tc>
          <w:tcPr>
            <w:tcW w:w="671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before="240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en-US" w:eastAsia="zh-CN"/>
              </w:rPr>
              <w:t>蔡瑜婷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tabs>
                <w:tab w:val="left" w:pos="1413"/>
              </w:tabs>
              <w:spacing w:before="240" w:line="276" w:lineRule="auto"/>
              <w:rPr>
                <w:rFonts w:ascii="宋体" w:hAnsi="宋体" w:eastAsia="宋体" w:cs="宋体"/>
                <w:b/>
                <w:bCs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任课教师：</w:t>
            </w:r>
          </w:p>
        </w:tc>
        <w:tc>
          <w:tcPr>
            <w:tcW w:w="671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before="240"/>
              <w:jc w:val="center"/>
              <w:rPr>
                <w:rFonts w:ascii="宋体" w:hAnsi="宋体" w:eastAsia="宋体" w:cs="宋体"/>
                <w:b/>
                <w:bCs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en-US" w:eastAsia="zh-CN"/>
              </w:rPr>
              <w:t>谢烯炼</w:t>
            </w: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 xml:space="preserve"> </w:t>
            </w:r>
          </w:p>
        </w:tc>
      </w:tr>
    </w:tbl>
    <w:p>
      <w:pPr>
        <w:jc w:val="center"/>
        <w:rPr>
          <w:rFonts w:ascii="宋体" w:hAnsi="宋体" w:eastAsia="宋体" w:cs="宋体"/>
          <w:b/>
          <w:bCs/>
          <w:sz w:val="36"/>
          <w:szCs w:val="36"/>
        </w:rPr>
      </w:pPr>
    </w:p>
    <w:p>
      <w:pPr>
        <w:jc w:val="center"/>
        <w:rPr>
          <w:rFonts w:ascii="宋体" w:hAnsi="宋体" w:eastAsia="宋体" w:cs="宋体"/>
          <w:b/>
          <w:bCs/>
          <w:sz w:val="36"/>
          <w:szCs w:val="36"/>
        </w:rPr>
      </w:pPr>
    </w:p>
    <w:p>
      <w:pPr>
        <w:jc w:val="center"/>
        <w:rPr>
          <w:rFonts w:ascii="宋体" w:hAnsi="宋体" w:eastAsia="宋体" w:cs="宋体"/>
          <w:b/>
          <w:bCs/>
          <w:sz w:val="36"/>
          <w:szCs w:val="36"/>
        </w:rPr>
      </w:pPr>
    </w:p>
    <w:p>
      <w:pPr>
        <w:jc w:val="center"/>
        <w:rPr>
          <w:rFonts w:ascii="宋体" w:hAnsi="宋体" w:eastAsia="宋体" w:cs="宋体"/>
          <w:b/>
          <w:bCs/>
          <w:sz w:val="36"/>
          <w:szCs w:val="36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jc w:val="center"/>
        <w:textAlignment w:val="auto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用例图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1. 需求分析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 xml:space="preserve">“学生信息管理系统”部分功能性需求包括以下内容：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 xml:space="preserve">　　 （1）系统管理员登录后可以对班级的基本信息进行增加、删除、修改、查询等操作。学校领导登录后可以对班级基本信息进行查询操作。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 xml:space="preserve">　　 （2）教师登录后可以对学生的考试成绩进行录入、删除、修改、查询等操作。学生登录后可以对考试成绩进行查询操作。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 xml:space="preserve">　　 （3）学生登录后可以了解所有选修课程的具体信息，可以根据自己的需要选择不同课程。系统管理员登录后可以增加、修改、查询、删除选修课程。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 xml:space="preserve">　　 （4）系统管理员可以对账号进行创建、设置、查看、删除等操作。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 xml:space="preserve">　　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 xml:space="preserve">2.识别参与者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 xml:space="preserve">　　对于一个学校来说，最重要的就是教育学生成才，所以我们首先要考虑到的参与者就是学生。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 xml:space="preserve">　　要给学生上课，必然就需要教师。教师负责教育学生、并且在日常管理中可以查询学生的基本信息、查询学生的考试成绩。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 xml:space="preserve">　　作为一个学校，除了教师和学生，还有不可或缺的就是校领导。为了便于校领导掌握学校的基本情况，加强对学校的管理导.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 xml:space="preserve">　　不管什么系统，基本都会有比较专业的人员来负责管理系统，本系统也不例外。系统管理员除了负责维护系统的日常运行，还要进行录入学生基本信息、维护选课信息等工作。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 xml:space="preserve">　　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3.构建用例模型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/>
          <w:sz w:val="21"/>
          <w:szCs w:val="21"/>
        </w:rPr>
        <w:t>系统管理员登录后可以对班级的基本信息进行增加、删除、修改、查询等操作。登录一般会提供找回密码。学校领导登录后可以对班级基本信息进行查询操作。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教师登录后可以对学生的考试成绩进行录入、删除、修改、查询等操作。学生登录后可以对考试成绩进行查询操作。修改和录入成绩之后需要保存成绩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学生登录后可以了解所有选修课程的具体信息，可以根据自己的需要选择不同课程。系统管理员登录后可以增加、修改、查询、删除选修课程。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系统管理员可以对账号进行创建、设置、查看、删除等操作。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28870" cy="2879725"/>
            <wp:effectExtent l="0" t="0" r="11430" b="3175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图1-1 学生信息管理系统的班级管理模块</w:t>
      </w:r>
    </w:p>
    <w:p>
      <w:pPr>
        <w:jc w:val="center"/>
        <w:rPr>
          <w:rFonts w:hint="eastAsia" w:ascii="黑体" w:hAnsi="黑体" w:eastAsia="黑体" w:cs="黑体"/>
          <w:b/>
          <w:bCs/>
          <w:lang w:val="en-US" w:eastAsia="zh-CN"/>
        </w:rPr>
      </w:pPr>
    </w:p>
    <w:p>
      <w:pPr>
        <w:jc w:val="both"/>
        <w:rPr>
          <w:rFonts w:hint="eastAsia" w:ascii="黑体" w:hAnsi="黑体" w:eastAsia="黑体" w:cs="黑体"/>
          <w:b/>
          <w:bCs/>
          <w:lang w:val="en-US" w:eastAsia="zh-CN"/>
        </w:rPr>
      </w:pPr>
    </w:p>
    <w:p>
      <w:pPr>
        <w:jc w:val="both"/>
        <w:rPr>
          <w:rFonts w:hint="eastAsia" w:ascii="黑体" w:hAnsi="黑体" w:eastAsia="黑体" w:cs="黑体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41570" cy="3026410"/>
            <wp:effectExtent l="0" t="0" r="11430" b="8890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302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 w:bidi="ar"/>
        </w:rPr>
        <w:t>图1-2 学生信息管理系统考试成绩管理模块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31030" cy="2747010"/>
            <wp:effectExtent l="0" t="0" r="1270" b="889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274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 w:bidi="ar"/>
        </w:rPr>
        <w:t>图1-3 学生信息管理系统考试课程管理模块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43070" cy="2964180"/>
            <wp:effectExtent l="0" t="0" r="11430" b="7620"/>
            <wp:docPr id="1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 w:bidi="ar"/>
        </w:rPr>
        <w:t>图1-4 学生信息管理系统考试课程管理模块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类图</w:t>
      </w:r>
    </w:p>
    <w:p>
      <w:pPr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1.按照下面属性建立类图</w:t>
      </w:r>
      <w:r>
        <w:rPr>
          <w:rFonts w:hint="eastAsia" w:asciiTheme="minorEastAsia" w:hAnsiTheme="minorEastAsia"/>
          <w:sz w:val="21"/>
          <w:szCs w:val="21"/>
          <w:lang w:eastAsia="zh-CN"/>
        </w:rPr>
        <w:t>：</w:t>
      </w:r>
    </w:p>
    <w:p>
      <w:pPr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一个年级有5到10个班级</w:t>
      </w:r>
    </w:p>
    <w:p>
      <w:pPr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一个班有20到40名学生</w:t>
      </w:r>
    </w:p>
    <w:p>
      <w:pPr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每个班有一名班主任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每个班级可能有一名副班主任</w:t>
      </w:r>
    </w:p>
    <w:p>
      <w:pPr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 xml:space="preserve">　　 </w:t>
      </w:r>
    </w:p>
    <w:p>
      <w:pPr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2.根据下面用例图去画类图</w:t>
      </w:r>
    </w:p>
    <w:p>
      <w:pPr>
        <w:rPr>
          <w:rFonts w:hint="eastAsia" w:asciiTheme="minorEastAsia" w:hAnsiTheme="minorEastAsia" w:eastAsiaTheme="minorEastAsia"/>
          <w:sz w:val="21"/>
          <w:szCs w:val="21"/>
        </w:rPr>
      </w:pPr>
    </w:p>
    <w:p>
      <w:r>
        <w:drawing>
          <wp:inline distT="0" distB="0" distL="0" distR="0">
            <wp:extent cx="5040630" cy="2910840"/>
            <wp:effectExtent l="0" t="0" r="1270" b="10160"/>
            <wp:docPr id="26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  <w:lang w:val="en-US" w:eastAsia="zh-CN"/>
        </w:rPr>
        <w:t>3.</w:t>
      </w:r>
      <w:r>
        <w:rPr>
          <w:rFonts w:hint="eastAsia" w:asciiTheme="minorEastAsia" w:hAnsiTheme="minorEastAsia" w:eastAsiaTheme="minorEastAsia"/>
          <w:sz w:val="21"/>
          <w:szCs w:val="21"/>
        </w:rPr>
        <w:t>会员购买零件产生的订单及订单明细：会员、订单、订单项、零件</w:t>
      </w:r>
    </w:p>
    <w:p>
      <w:pPr>
        <w:rPr>
          <w:rFonts w:hint="eastAsia" w:asciiTheme="minorEastAsia" w:hAnsiTheme="minorEastAsia" w:eastAsiaTheme="minorEastAsia"/>
          <w:sz w:val="21"/>
          <w:szCs w:val="21"/>
        </w:rPr>
      </w:pPr>
    </w:p>
    <w:p>
      <w:pPr>
        <w:jc w:val="center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9240" cy="3290570"/>
            <wp:effectExtent l="0" t="0" r="10160" b="11430"/>
            <wp:docPr id="1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图2-1 班级系统类图</w:t>
      </w: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7640" cy="5398770"/>
            <wp:effectExtent l="0" t="0" r="10160" b="11430"/>
            <wp:docPr id="1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539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图2-2 图书管理系统类图</w:t>
      </w: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lang w:val="en-US" w:eastAsia="zh-CN"/>
        </w:rPr>
        <w:br w:type="pag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7015" cy="3343275"/>
            <wp:effectExtent l="0" t="0" r="6985" b="9525"/>
            <wp:docPr id="2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图2-3 零件订单系统类图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状态图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1、购物车生成订单进入状态【下单成功】，成生一个正式的订单</w:t>
      </w:r>
      <w:r>
        <w:rPr>
          <w:rFonts w:hint="eastAsia" w:asciiTheme="minorEastAsia" w:hAnsiTheme="minorEastAsia"/>
          <w:sz w:val="21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2、系统检测订单己经付款并且库存量足够，则进入状态【备货中】</w:t>
      </w:r>
      <w:r>
        <w:rPr>
          <w:rFonts w:hint="eastAsia" w:asciiTheme="minorEastAsia" w:hAnsiTheme="minorEastAsia"/>
          <w:sz w:val="21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3、物流发货，进入状态【出货中】，状态转移为【出货中】后，需要做的操作有</w:t>
      </w:r>
      <w:r>
        <w:rPr>
          <w:rFonts w:hint="eastAsia" w:asciiTheme="minorEastAsia" w:hAnsiTheme="minorEastAsia"/>
          <w:sz w:val="21"/>
          <w:szCs w:val="21"/>
          <w:lang w:eastAsia="zh-CN"/>
        </w:rPr>
        <w:t>：</w:t>
      </w:r>
      <w:r>
        <w:rPr>
          <w:rFonts w:hint="eastAsia" w:asciiTheme="minorEastAsia" w:hAnsiTheme="minorEastAsia" w:eastAsiaTheme="minorEastAsia"/>
          <w:sz w:val="21"/>
          <w:szCs w:val="21"/>
        </w:rPr>
        <w:t>“扣除商品可接单量及移除购物车中的购买资料”</w:t>
      </w:r>
      <w:r>
        <w:rPr>
          <w:rFonts w:hint="eastAsia" w:asciiTheme="minorEastAsia" w:hAnsiTheme="minorEastAsia"/>
          <w:sz w:val="21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4、发货完毕后，状态分为【出货确认】和【出货失败】，如果状态是【出货失败】，则【结束】，如果状态为【出货确认】，则进入下一步。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5、配货人员填写实际配达日期，进入状态【出货完毕】</w:t>
      </w:r>
      <w:r>
        <w:rPr>
          <w:rFonts w:hint="eastAsia" w:asciiTheme="minorEastAsia" w:hAnsiTheme="minorEastAsia"/>
          <w:sz w:val="21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6、如果“己付款、结束日期小于等于[系统日期]”,则【订单成立】</w:t>
      </w:r>
      <w:r>
        <w:rPr>
          <w:rFonts w:hint="eastAsia" w:asciiTheme="minorEastAsia" w:hAnsiTheme="minorEastAsia"/>
          <w:sz w:val="21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2.订单对象有确认订单、等待到款、等待受理、己受理、已发货、交易成功和取消7种状态</w:t>
      </w:r>
      <w:r>
        <w:rPr>
          <w:rFonts w:hint="eastAsia" w:asciiTheme="minorEastAsia" w:hAnsiTheme="minorEastAsia"/>
          <w:sz w:val="21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（1）</w:t>
      </w:r>
      <w:r>
        <w:rPr>
          <w:rFonts w:hint="eastAsia" w:asciiTheme="minorEastAsia" w:hAnsiTheme="minorEastAsia"/>
          <w:sz w:val="21"/>
          <w:szCs w:val="21"/>
          <w:lang w:eastAsia="zh-CN"/>
        </w:rPr>
        <w:t>“</w:t>
      </w:r>
      <w:r>
        <w:rPr>
          <w:rFonts w:hint="eastAsia" w:asciiTheme="minorEastAsia" w:hAnsiTheme="minorEastAsia" w:eastAsiaTheme="minorEastAsia"/>
          <w:sz w:val="21"/>
          <w:szCs w:val="21"/>
        </w:rPr>
        <w:t>确定订单</w:t>
      </w:r>
      <w:r>
        <w:rPr>
          <w:rFonts w:hint="eastAsia" w:asciiTheme="minorEastAsia" w:hAnsiTheme="minorEastAsia"/>
          <w:sz w:val="21"/>
          <w:szCs w:val="21"/>
          <w:lang w:eastAsia="zh-CN"/>
        </w:rPr>
        <w:t>”</w:t>
      </w:r>
      <w:r>
        <w:rPr>
          <w:rFonts w:hint="eastAsia" w:asciiTheme="minorEastAsia" w:hAnsiTheme="minorEastAsia" w:eastAsiaTheme="minorEastAsia"/>
          <w:sz w:val="21"/>
          <w:szCs w:val="21"/>
        </w:rPr>
        <w:t>后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根据</w:t>
      </w:r>
      <w:r>
        <w:rPr>
          <w:rFonts w:hint="eastAsia" w:asciiTheme="minorEastAsia" w:hAnsiTheme="minorEastAsia" w:eastAsiaTheme="minorEastAsia"/>
          <w:sz w:val="21"/>
          <w:szCs w:val="21"/>
        </w:rPr>
        <w:t>订单的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付款</w:t>
      </w:r>
      <w:r>
        <w:rPr>
          <w:rFonts w:hint="eastAsia" w:asciiTheme="minorEastAsia" w:hAnsiTheme="minorEastAsia" w:eastAsiaTheme="minorEastAsia"/>
          <w:sz w:val="21"/>
          <w:szCs w:val="21"/>
        </w:rPr>
        <w:t>方式决定向下个状态的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转换。</w:t>
      </w:r>
      <w:r>
        <w:rPr>
          <w:rFonts w:hint="eastAsia" w:asciiTheme="minorEastAsia" w:hAnsiTheme="minorEastAsia" w:eastAsiaTheme="minorEastAsia"/>
          <w:sz w:val="21"/>
          <w:szCs w:val="21"/>
        </w:rPr>
        <w:t>若付款方式=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网银支付</w:t>
      </w:r>
      <w:r>
        <w:rPr>
          <w:rFonts w:hint="eastAsia" w:asciiTheme="minorEastAsia" w:hAnsiTheme="minorEastAsia" w:eastAsiaTheme="minorEastAsia"/>
          <w:sz w:val="21"/>
          <w:szCs w:val="21"/>
        </w:rPr>
        <w:t>．则订单对象讲入“等待到款”状态</w:t>
      </w:r>
      <w:r>
        <w:rPr>
          <w:rFonts w:hint="eastAsia" w:asciiTheme="minorEastAsia" w:hAnsi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/>
          <w:sz w:val="21"/>
          <w:szCs w:val="21"/>
        </w:rPr>
        <w:t>若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付款</w:t>
      </w:r>
      <w:r>
        <w:rPr>
          <w:rFonts w:hint="eastAsia" w:asciiTheme="minorEastAsia" w:hAnsiTheme="minorEastAsia" w:eastAsiaTheme="minorEastAsia"/>
          <w:sz w:val="21"/>
          <w:szCs w:val="21"/>
        </w:rPr>
        <w:t>方式=货到付款</w:t>
      </w:r>
      <w:r>
        <w:rPr>
          <w:rFonts w:hint="eastAsia" w:asciiTheme="minorEastAsia" w:hAnsi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则</w:t>
      </w:r>
      <w:r>
        <w:rPr>
          <w:rFonts w:hint="eastAsia" w:asciiTheme="minorEastAsia" w:hAnsiTheme="minorEastAsia" w:eastAsiaTheme="minorEastAsia"/>
          <w:sz w:val="21"/>
          <w:szCs w:val="21"/>
        </w:rPr>
        <w:t>订单对象直接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进入“</w:t>
      </w:r>
      <w:r>
        <w:rPr>
          <w:rFonts w:hint="eastAsia" w:asciiTheme="minorEastAsia" w:hAnsiTheme="minorEastAsia" w:eastAsiaTheme="minorEastAsia"/>
          <w:sz w:val="21"/>
          <w:szCs w:val="21"/>
        </w:rPr>
        <w:t>等待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受理”状态。</w:t>
      </w:r>
      <w:r>
        <w:rPr>
          <w:rFonts w:hint="eastAsia" w:asciiTheme="minorEastAsia" w:hAnsiTheme="minorEastAsia" w:eastAsiaTheme="minorEastAsia"/>
          <w:sz w:val="21"/>
          <w:szCs w:val="21"/>
        </w:rPr>
        <w:t>用户付款成功后，订单对象可由</w:t>
      </w:r>
      <w:r>
        <w:rPr>
          <w:rFonts w:hint="eastAsia" w:asciiTheme="minorEastAsia" w:hAnsiTheme="minorEastAsia"/>
          <w:sz w:val="21"/>
          <w:szCs w:val="21"/>
          <w:lang w:eastAsia="zh-CN"/>
        </w:rPr>
        <w:t>“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等待到款</w:t>
      </w:r>
      <w:r>
        <w:rPr>
          <w:rFonts w:hint="eastAsia" w:asciiTheme="minorEastAsia" w:hAnsiTheme="minorEastAsia"/>
          <w:sz w:val="21"/>
          <w:szCs w:val="21"/>
          <w:lang w:eastAsia="zh-CN"/>
        </w:rPr>
        <w:t>”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状态转换</w:t>
      </w:r>
      <w:r>
        <w:rPr>
          <w:rFonts w:hint="eastAsia" w:asciiTheme="minorEastAsia" w:hAnsiTheme="minorEastAsia" w:eastAsiaTheme="minorEastAsia"/>
          <w:sz w:val="21"/>
          <w:szCs w:val="21"/>
        </w:rPr>
        <w:t>为</w:t>
      </w:r>
      <w:r>
        <w:rPr>
          <w:rFonts w:hint="eastAsia" w:asciiTheme="minorEastAsia" w:hAnsiTheme="minorEastAsia"/>
          <w:sz w:val="21"/>
          <w:szCs w:val="21"/>
          <w:lang w:eastAsia="zh-CN"/>
        </w:rPr>
        <w:t>“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等待处理</w:t>
      </w:r>
      <w:r>
        <w:rPr>
          <w:rFonts w:hint="eastAsia" w:asciiTheme="minorEastAsia" w:hAnsiTheme="minorEastAsia"/>
          <w:sz w:val="21"/>
          <w:szCs w:val="21"/>
          <w:lang w:eastAsia="zh-CN"/>
        </w:rPr>
        <w:t>”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状态。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（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eastAsiaTheme="minorEastAsia"/>
          <w:sz w:val="21"/>
          <w:szCs w:val="21"/>
        </w:rPr>
        <w:t>）订单对象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处于“等待到款”或</w:t>
      </w:r>
      <w:r>
        <w:rPr>
          <w:rFonts w:hint="eastAsia" w:asciiTheme="minorEastAsia" w:hAnsiTheme="minorEastAsia" w:eastAsiaTheme="minorEastAsia"/>
          <w:sz w:val="21"/>
          <w:szCs w:val="21"/>
        </w:rPr>
        <w:t>“等待受理”状态时 ，用户可取消交易，由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此</w:t>
      </w:r>
      <w:r>
        <w:rPr>
          <w:rFonts w:hint="eastAsia" w:asciiTheme="minorEastAsia" w:hAnsiTheme="minorEastAsia" w:eastAsiaTheme="minorEastAsia"/>
          <w:sz w:val="21"/>
          <w:szCs w:val="21"/>
        </w:rPr>
        <w:t>订单对象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转换</w:t>
      </w:r>
      <w:r>
        <w:rPr>
          <w:rFonts w:hint="eastAsia" w:asciiTheme="minorEastAsia" w:hAnsiTheme="minorEastAsia" w:eastAsiaTheme="minorEastAsia"/>
          <w:sz w:val="21"/>
          <w:szCs w:val="21"/>
        </w:rPr>
        <w:t>为 “取消”状态</w:t>
      </w:r>
      <w:r>
        <w:rPr>
          <w:rFonts w:hint="eastAsia" w:asciiTheme="minorEastAsia" w:hAnsiTheme="minorEastAsia"/>
          <w:sz w:val="21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（3）订单对象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处于</w:t>
      </w:r>
      <w:r>
        <w:rPr>
          <w:rFonts w:hint="eastAsia" w:asciiTheme="minorEastAsia" w:hAnsiTheme="minorEastAsia"/>
          <w:sz w:val="21"/>
          <w:szCs w:val="21"/>
          <w:lang w:eastAsia="zh-CN"/>
        </w:rPr>
        <w:t>“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等待处理</w:t>
      </w:r>
      <w:r>
        <w:rPr>
          <w:rFonts w:hint="eastAsia" w:asciiTheme="minorEastAsia" w:hAnsiTheme="minorEastAsia"/>
          <w:sz w:val="21"/>
          <w:szCs w:val="21"/>
          <w:lang w:eastAsia="zh-CN"/>
        </w:rPr>
        <w:t>”</w:t>
      </w:r>
      <w:r>
        <w:rPr>
          <w:rFonts w:hint="eastAsia" w:asciiTheme="minorEastAsia" w:hAnsiTheme="minorEastAsia" w:eastAsiaTheme="minorEastAsia"/>
          <w:sz w:val="21"/>
          <w:szCs w:val="21"/>
        </w:rPr>
        <w:t>状态</w:t>
      </w:r>
      <w:r>
        <w:rPr>
          <w:rFonts w:hint="eastAsia" w:asciiTheme="minorEastAsia" w:hAnsi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若</w:t>
      </w:r>
      <w:r>
        <w:rPr>
          <w:rFonts w:hint="eastAsia" w:asciiTheme="minorEastAsia" w:hAnsiTheme="minorEastAsia" w:eastAsiaTheme="minorEastAsia"/>
          <w:sz w:val="21"/>
          <w:szCs w:val="21"/>
        </w:rPr>
        <w:t>书店销售管理员受理了订单，则更新订单状态</w:t>
      </w:r>
      <w:r>
        <w:rPr>
          <w:rFonts w:hint="eastAsia" w:asciiTheme="minorEastAsia" w:hAnsi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/>
          <w:sz w:val="21"/>
          <w:szCs w:val="21"/>
        </w:rPr>
        <w:t>订单对象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转换为“已受理”状态。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（4 )订单对象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处于</w:t>
      </w:r>
      <w:r>
        <w:rPr>
          <w:rFonts w:hint="eastAsia" w:asciiTheme="minorEastAsia" w:hAnsiTheme="minorEastAsia"/>
          <w:sz w:val="21"/>
          <w:szCs w:val="21"/>
          <w:lang w:eastAsia="zh-CN"/>
        </w:rPr>
        <w:t>“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已受理</w:t>
      </w:r>
      <w:r>
        <w:rPr>
          <w:rFonts w:hint="eastAsia" w:asciiTheme="minorEastAsia" w:hAnsiTheme="minorEastAsia"/>
          <w:sz w:val="21"/>
          <w:szCs w:val="21"/>
          <w:lang w:eastAsia="zh-CN"/>
        </w:rPr>
        <w:t>”</w:t>
      </w:r>
      <w:r>
        <w:rPr>
          <w:rFonts w:hint="eastAsia" w:asciiTheme="minorEastAsia" w:hAnsiTheme="minorEastAsia" w:eastAsiaTheme="minorEastAsia"/>
          <w:sz w:val="21"/>
          <w:szCs w:val="21"/>
        </w:rPr>
        <w:t>状态，书店发货，销售管理员更新订单状态</w:t>
      </w:r>
      <w:r>
        <w:rPr>
          <w:rFonts w:hint="eastAsia" w:asciiTheme="minorEastAsia" w:hAnsi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/>
          <w:sz w:val="21"/>
          <w:szCs w:val="21"/>
        </w:rPr>
        <w:t>订单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对象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转换为“已发货”状态。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（5〕用户收到货物．书店确认后</w:t>
      </w:r>
      <w:r>
        <w:rPr>
          <w:rFonts w:hint="eastAsia" w:asciiTheme="minorEastAsia" w:hAnsi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/>
          <w:sz w:val="21"/>
          <w:szCs w:val="21"/>
        </w:rPr>
        <w:t>“交易成功</w:t>
      </w:r>
      <w:r>
        <w:rPr>
          <w:rFonts w:hint="eastAsia" w:asciiTheme="minorEastAsia" w:hAnsiTheme="minorEastAsia"/>
          <w:sz w:val="21"/>
          <w:szCs w:val="21"/>
          <w:lang w:eastAsia="zh-CN"/>
        </w:rPr>
        <w:t>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细化状态内部的转换和活动，绘制状态图。</w:t>
      </w:r>
    </w:p>
    <w:p>
      <w:pPr>
        <w:rPr>
          <w:rFonts w:asciiTheme="minorEastAsia" w:hAnsiTheme="minorEastAsia" w:eastAsiaTheme="minorEastAsia"/>
          <w:sz w:val="21"/>
          <w:szCs w:val="21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95090" cy="8084185"/>
            <wp:effectExtent l="0" t="0" r="3810" b="5715"/>
            <wp:docPr id="2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808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图3-1 购物订单出货状态图</w:t>
      </w:r>
    </w:p>
    <w:p>
      <w:pPr>
        <w:jc w:val="center"/>
      </w:pPr>
    </w:p>
    <w:p>
      <w:r>
        <w:br w:type="page"/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23230" cy="3240405"/>
            <wp:effectExtent l="0" t="0" r="1270" b="10795"/>
            <wp:docPr id="2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 w:bidi="ar"/>
        </w:rPr>
        <w:t>图3-2 订单状态图</w:t>
      </w:r>
    </w:p>
    <w:p/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活动图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在网上书店中，会员选购图书、管理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员</w:t>
      </w:r>
      <w:r>
        <w:rPr>
          <w:rFonts w:hint="eastAsia" w:asciiTheme="minorEastAsia" w:hAnsiTheme="minorEastAsia" w:eastAsiaTheme="minorEastAsia"/>
          <w:sz w:val="21"/>
          <w:szCs w:val="21"/>
        </w:rPr>
        <w:t>管理图书和处理订单等可以为其工作流程建立活动图。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1.会员选购图书活动图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实际上，有些活动结点的顺序可以调整，比如说会员也可以先查看图书信息，然后再登录系统选购。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2.商品管理员管理图书信息活动图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网上书店的商品管理员需要管理图书信息、图书分类信息，以及特价书信息。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3.销售管理员处理订单活动图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销售管理员主要管理会员订单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4.系统管理员管理留言活动图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系统管理员要维护管理员信息、管理会员和管理留言</w:t>
      </w: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22800" cy="6477635"/>
            <wp:effectExtent l="0" t="0" r="0" b="12065"/>
            <wp:docPr id="2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647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图4-1 会员选购图书活动图</w:t>
      </w:r>
    </w:p>
    <w:p>
      <w:pPr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57750" cy="6242685"/>
            <wp:effectExtent l="0" t="0" r="6350" b="5715"/>
            <wp:docPr id="2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24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4-2 商品管理员管理图书信息活动图</w:t>
      </w:r>
    </w:p>
    <w:p>
      <w:pPr>
        <w:jc w:val="center"/>
        <w:rPr>
          <w:rFonts w:hint="eastAsia" w:ascii="黑体" w:hAnsi="黑体" w:eastAsia="黑体" w:cs="黑体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01565" cy="6051550"/>
            <wp:effectExtent l="0" t="0" r="635" b="6350"/>
            <wp:docPr id="2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605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4-3 销售管理员处理订单活动图</w:t>
      </w:r>
    </w:p>
    <w:p>
      <w:pPr>
        <w:jc w:val="center"/>
        <w:rPr>
          <w:rFonts w:hint="eastAsia" w:ascii="黑体" w:hAnsi="黑体" w:eastAsia="黑体" w:cs="黑体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6185" cy="5314315"/>
            <wp:effectExtent l="0" t="0" r="5715" b="6985"/>
            <wp:docPr id="2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531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4-4 系统管理员管理留言活动图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CFAE8AC"/>
    <w:multiLevelType w:val="singleLevel"/>
    <w:tmpl w:val="5CFAE8A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1C763144"/>
    <w:rsid w:val="00CD79DA"/>
    <w:rsid w:val="03A16464"/>
    <w:rsid w:val="047D79CC"/>
    <w:rsid w:val="078B7CA7"/>
    <w:rsid w:val="0B4C599F"/>
    <w:rsid w:val="0F8854F1"/>
    <w:rsid w:val="123D0D6C"/>
    <w:rsid w:val="13DD5D2E"/>
    <w:rsid w:val="14A96BBF"/>
    <w:rsid w:val="18911CE7"/>
    <w:rsid w:val="1C763144"/>
    <w:rsid w:val="1EEB57A3"/>
    <w:rsid w:val="1F7363E0"/>
    <w:rsid w:val="28E05EE7"/>
    <w:rsid w:val="2A014E20"/>
    <w:rsid w:val="2B27367F"/>
    <w:rsid w:val="2B364AFF"/>
    <w:rsid w:val="2B4C581C"/>
    <w:rsid w:val="2D8A7F3E"/>
    <w:rsid w:val="2E5D6734"/>
    <w:rsid w:val="30C45E54"/>
    <w:rsid w:val="31823DAA"/>
    <w:rsid w:val="330C5891"/>
    <w:rsid w:val="33F702EF"/>
    <w:rsid w:val="34980AC4"/>
    <w:rsid w:val="362E43BE"/>
    <w:rsid w:val="3B5732CF"/>
    <w:rsid w:val="3C163B20"/>
    <w:rsid w:val="44056942"/>
    <w:rsid w:val="45A32D0A"/>
    <w:rsid w:val="47D62416"/>
    <w:rsid w:val="47F606A9"/>
    <w:rsid w:val="4B7122DD"/>
    <w:rsid w:val="4C2537F3"/>
    <w:rsid w:val="4DBB14B3"/>
    <w:rsid w:val="4FA113E3"/>
    <w:rsid w:val="509937A3"/>
    <w:rsid w:val="52990A97"/>
    <w:rsid w:val="529C0587"/>
    <w:rsid w:val="5318112B"/>
    <w:rsid w:val="541C1F1E"/>
    <w:rsid w:val="54C621D2"/>
    <w:rsid w:val="5568597E"/>
    <w:rsid w:val="58A27F7A"/>
    <w:rsid w:val="5FBA4847"/>
    <w:rsid w:val="61A62378"/>
    <w:rsid w:val="6341642D"/>
    <w:rsid w:val="65D11305"/>
    <w:rsid w:val="65D976D1"/>
    <w:rsid w:val="6771342A"/>
    <w:rsid w:val="681652A8"/>
    <w:rsid w:val="68ED2D00"/>
    <w:rsid w:val="69674FF3"/>
    <w:rsid w:val="6B321185"/>
    <w:rsid w:val="6B91384B"/>
    <w:rsid w:val="711C66C3"/>
    <w:rsid w:val="734F6EA7"/>
    <w:rsid w:val="7479207F"/>
    <w:rsid w:val="778E6D06"/>
    <w:rsid w:val="7A721EC3"/>
    <w:rsid w:val="7C1C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Office_11.1.0.13020_F1E327BC-269C-435d-A152-05C5408002CA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2023-03-16T05:46:00Z</dcterms:created>
  <dc:creator>freedom of liberation</dc:creator>
  <cp:lastModifiedBy>小辣鸡</cp:lastModifiedBy>
  <dcterms:modified xsi:type="dcterms:W3CDTF">2023-03-23T01:44:18Z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2052-11.1.0.13020</vt:lpwstr>
  </property>
  <property fmtid="{D5CDD505-2E9C-101B-9397-08002B2CF9AE}" pid="3" name="ICV">
    <vt:lpwstr>DAD2F6705A6F4F80A2EFFC8FC31519A6</vt:lpwstr>
  </property>
</Properties>
</file>