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20" w:before="240"/>
      </w:pPr>
      <w:r>
        <w:rPr>
          <w:b/>
          <w:bCs/>
          <w:color w:val="000000"/>
          <w:sz w:val="26"/>
          <w:szCs w:val="26"/>
        </w:rPr>
        <w:t xml:space="preserve">3.1.5 Benchmark dataset and preprocessing (UNSW-NB15)</w:t>
      </w:r>
    </w:p>
    <w:p>
      <w:pPr>
        <w:spacing w:after="120" w:line="360"/>
        <w:jc w:val="both"/>
      </w:pPr>
      <w:r>
        <w:rPr>
          <w:sz w:val="22"/>
          <w:szCs w:val="22"/>
        </w:rPr>
        <w:t xml:space="preserve">To validate the methodology on real network traffic in addition to the live simulation, the supervised learning pipeline proposed in Assignment 1 was implemented in Python (ml/run_pipeline.py) using the UNSW-NB15 benchmark dataset [9]. The official partition CSV contains 175,341 labeled flow records with 39 numeric features, 3 categorical features (proto, service, state), a binary label (benign/attack) and a multiclass attack_cat covering nine attack families (Generic, Exploits, Fuzzers, DoS, Reconnaissance, Analysis, Backdoor, Shellcode, Worms). The attack_cat column is never shown to the models; it is retained solely to break results down per attack family.</w:t>
      </w:r>
    </w:p>
    <w:p>
      <w:pPr>
        <w:spacing w:after="120" w:line="360"/>
        <w:jc w:val="both"/>
      </w:pPr>
      <w:r>
        <w:rPr>
          <w:sz w:val="22"/>
          <w:szCs w:val="22"/>
        </w:rPr>
        <w:t xml:space="preserve">Preprocessing followed the exact steps planned in Assignment 1 (Section 5.4):</w:t>
      </w:r>
    </w:p>
    <w:p>
      <w:pPr>
        <w:spacing w:after="120" w:line="360"/>
        <w:jc w:val="both"/>
      </w:pPr>
      <w:r>
        <w:rPr>
          <w:sz w:val="22"/>
          <w:szCs w:val="22"/>
        </w:rPr>
        <w:t xml:space="preserve">1. Cleaning - the id column was dropped, 67,601 duplicate records were removed to prevent train/test leakage (175,341 -&gt; 107,740 records), and non-finite values were median-imputed (0 found).</w:t>
      </w:r>
    </w:p>
    <w:p>
      <w:pPr>
        <w:spacing w:after="120" w:line="360"/>
        <w:jc w:val="both"/>
      </w:pPr>
      <w:r>
        <w:rPr>
          <w:sz w:val="22"/>
          <w:szCs w:val="22"/>
        </w:rPr>
        <w:t xml:space="preserve">2. Encoding and normalization - proto, service and state were one-hot encoded with rare categories (&lt; 0.1% of training rows) folded into an infrequent bucket, and all numeric features were standardized with a StandardScaler fitted on the training split only, expanding the feature space to 60 encoded features.</w:t>
      </w:r>
    </w:p>
    <w:p>
      <w:pPr>
        <w:spacing w:after="120" w:line="360"/>
        <w:jc w:val="both"/>
      </w:pPr>
      <w:r>
        <w:rPr>
          <w:sz w:val="22"/>
          <w:szCs w:val="22"/>
        </w:rPr>
        <w:t xml:space="preserve">3. Splitting - a stratified 70/30 train/test split (75,418 / 32,322 records) stratified on attack_cat, so rare families such as Worms appear in both splits in proportion.</w:t>
      </w:r>
    </w:p>
    <w:p>
      <w:pPr>
        <w:spacing w:after="120" w:line="360"/>
        <w:jc w:val="both"/>
      </w:pPr>
      <w:r>
        <w:rPr>
          <w:sz w:val="22"/>
          <w:szCs w:val="22"/>
        </w:rPr>
        <w:t xml:space="preserve">4. Balancing - the binary classes are moderately imbalanced (~68% attack / 32% benign after cleaning), so cost-sensitive learning was used: class_weight='balanced' for Random Forest and SVM, and scale_pos_weight for XGBoost. Synthetic oversampling (e.g. SMOTE) was deliberately avoided to keep the evaluation on genuine traffic records only.</w:t>
      </w:r>
    </w:p>
    <w:p>
      <w:pPr>
        <w:spacing w:after="120" w:line="360"/>
        <w:jc w:val="both"/>
      </w:pPr>
      <w:r>
        <w:rPr>
          <w:sz w:val="22"/>
          <w:szCs w:val="22"/>
        </w:rPr>
        <w:t xml:space="preserve">5. Feature selection - mutual information between each encoded feature and the label was estimated on the training split, and the top 20 of 60 features were retained. This dimensionality reduction directly serves the IoT/edge feasibility objective (fewer features means smaller models and faster inference). The strongest features were sbytes, dbytes, sttl, dttl, ct_state_ttl.</w:t>
      </w:r>
    </w:p>
    <w:p>
      <w:pPr>
        <w:spacing w:after="60" w:before="120"/>
        <w:jc w:val="center"/>
      </w:pPr>
      <w:r>
        <w:drawing>
          <wp:inline distT="0" distB="0" distL="0" distR="0">
            <wp:extent cx="5905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371850"/>
                    </a:xfrm>
                    <a:prstGeom prst="rect">
                      <a:avLst/>
                    </a:prstGeom>
                  </pic:spPr>
                </pic:pic>
              </a:graphicData>
            </a:graphic>
          </wp:inline>
        </w:drawing>
      </w:r>
    </w:p>
    <w:p>
      <w:pPr>
        <w:spacing w:after="200"/>
        <w:jc w:val="center"/>
      </w:pPr>
      <w:r>
        <w:rPr>
          <w:i/>
          <w:iCs/>
          <w:sz w:val="18"/>
          <w:szCs w:val="18"/>
        </w:rPr>
        <w:t xml:space="preserve">Figure B1. UNSW-NB15 class distribution (before cleaning).</w:t>
      </w:r>
    </w:p>
    <w:p>
      <w:pPr>
        <w:spacing w:after="60" w:before="120"/>
        <w:jc w:val="center"/>
      </w:pPr>
      <w:r>
        <w:drawing>
          <wp:inline distT="0" distB="0" distL="0" distR="0">
            <wp:extent cx="5905500" cy="490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905375"/>
                    </a:xfrm>
                    <a:prstGeom prst="rect">
                      <a:avLst/>
                    </a:prstGeom>
                  </pic:spPr>
                </pic:pic>
              </a:graphicData>
            </a:graphic>
          </wp:inline>
        </w:drawing>
      </w:r>
    </w:p>
    <w:p>
      <w:pPr>
        <w:spacing w:after="200"/>
        <w:jc w:val="center"/>
      </w:pPr>
      <w:r>
        <w:rPr>
          <w:i/>
          <w:iCs/>
          <w:sz w:val="18"/>
          <w:szCs w:val="18"/>
        </w:rPr>
        <w:t xml:space="preserve">Figure B2. Mutual-information feature selection (top 20 of 60 encoded features kept).</w:t>
      </w:r>
    </w:p>
    <w:p>
      <w:pPr>
        <w:pStyle w:val="Heading2"/>
        <w:spacing w:after="120" w:before="240"/>
      </w:pPr>
      <w:r>
        <w:rPr>
          <w:b/>
          <w:bCs/>
          <w:color w:val="000000"/>
          <w:sz w:val="26"/>
          <w:szCs w:val="26"/>
        </w:rPr>
        <w:t xml:space="preserve">3.2.1 Benchmark results: Random Forest vs SVM vs XGBoost</w:t>
      </w:r>
    </w:p>
    <w:p>
      <w:pPr>
        <w:spacing w:after="120" w:line="360"/>
        <w:jc w:val="both"/>
      </w:pPr>
      <w:r>
        <w:rPr>
          <w:sz w:val="22"/>
          <w:szCs w:val="22"/>
        </w:rPr>
        <w:t xml:space="preserve">All three models were trained on the same 75,418-record training split and evaluated on the held-out 32,322-record test set. The RBF-kernel SVM was trained on a stratified 20,000-record subsample because kernel SVM training scales quadratically with the number of records - itself a relevant deployment finding. Results:</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560"/>
        <w:gridCol w:w="2160"/>
        <w:gridCol w:w="2160"/>
        <w:gridCol w:w="2160"/>
      </w:tblGrid>
      <w:tr>
        <w:tc>
          <w:tcPr>
            <w:tcW w:type="dxa" w:w="2560"/>
            <w:tcBorders>
              <w:top w:val="single" w:color="000000" w:sz="8"/>
              <w:left w:val="single" w:color="000000" w:sz="8"/>
              <w:bottom w:val="single" w:color="000000" w:sz="8"/>
              <w:right w:val="single" w:color="000000" w:sz="8"/>
            </w:tcBorders>
            <w:shd w:fill="FFFF00" w:val="clear"/>
            <w:tcMar>
              <w:top w:type="dxa" w:w="100"/>
              <w:left w:type="dxa" w:w="100"/>
              <w:bottom w:type="dxa" w:w="100"/>
              <w:right w:type="dxa" w:w="100"/>
            </w:tcMar>
          </w:tcPr>
          <w:p>
            <w:pPr>
              <w:spacing w:line="360"/>
            </w:pPr>
            <w:r>
              <w:rPr>
                <w:b/>
                <w:bCs/>
                <w:sz w:val="20"/>
                <w:szCs w:val="20"/>
              </w:rPr>
              <w:t xml:space="preserve">Metric</w:t>
            </w:r>
          </w:p>
        </w:tc>
        <w:tc>
          <w:tcPr>
            <w:tcW w:type="dxa" w:w="2160"/>
            <w:tcBorders>
              <w:top w:val="single" w:color="000000" w:sz="8"/>
              <w:left w:val="single" w:color="000000" w:sz="8"/>
              <w:bottom w:val="single" w:color="000000" w:sz="8"/>
              <w:right w:val="single" w:color="000000" w:sz="8"/>
            </w:tcBorders>
            <w:shd w:fill="FFFF00" w:val="clear"/>
            <w:tcMar>
              <w:top w:type="dxa" w:w="100"/>
              <w:left w:type="dxa" w:w="100"/>
              <w:bottom w:type="dxa" w:w="100"/>
              <w:right w:type="dxa" w:w="100"/>
            </w:tcMar>
          </w:tcPr>
          <w:p>
            <w:pPr>
              <w:spacing w:line="360"/>
            </w:pPr>
            <w:r>
              <w:rPr>
                <w:b/>
                <w:bCs/>
                <w:sz w:val="20"/>
                <w:szCs w:val="20"/>
              </w:rPr>
              <w:t xml:space="preserve">Random Forest</w:t>
            </w:r>
          </w:p>
        </w:tc>
        <w:tc>
          <w:tcPr>
            <w:tcW w:type="dxa" w:w="2160"/>
            <w:tcBorders>
              <w:top w:val="single" w:color="000000" w:sz="8"/>
              <w:left w:val="single" w:color="000000" w:sz="8"/>
              <w:bottom w:val="single" w:color="000000" w:sz="8"/>
              <w:right w:val="single" w:color="000000" w:sz="8"/>
            </w:tcBorders>
            <w:shd w:fill="FFFF00" w:val="clear"/>
            <w:tcMar>
              <w:top w:type="dxa" w:w="100"/>
              <w:left w:type="dxa" w:w="100"/>
              <w:bottom w:type="dxa" w:w="100"/>
              <w:right w:type="dxa" w:w="100"/>
            </w:tcMar>
          </w:tcPr>
          <w:p>
            <w:pPr>
              <w:spacing w:line="360"/>
            </w:pPr>
            <w:r>
              <w:rPr>
                <w:b/>
                <w:bCs/>
                <w:sz w:val="20"/>
                <w:szCs w:val="20"/>
              </w:rPr>
              <w:t xml:space="preserve">SVM (RBF)</w:t>
            </w:r>
          </w:p>
        </w:tc>
        <w:tc>
          <w:tcPr>
            <w:tcW w:type="dxa" w:w="2160"/>
            <w:tcBorders>
              <w:top w:val="single" w:color="000000" w:sz="8"/>
              <w:left w:val="single" w:color="000000" w:sz="8"/>
              <w:bottom w:val="single" w:color="000000" w:sz="8"/>
              <w:right w:val="single" w:color="000000" w:sz="8"/>
            </w:tcBorders>
            <w:shd w:fill="FFFF00" w:val="clear"/>
            <w:tcMar>
              <w:top w:type="dxa" w:w="100"/>
              <w:left w:type="dxa" w:w="100"/>
              <w:bottom w:type="dxa" w:w="100"/>
              <w:right w:type="dxa" w:w="100"/>
            </w:tcMar>
          </w:tcPr>
          <w:p>
            <w:pPr>
              <w:spacing w:line="360"/>
            </w:pPr>
            <w:r>
              <w:rPr>
                <w:b/>
                <w:bCs/>
                <w:sz w:val="20"/>
                <w:szCs w:val="20"/>
              </w:rPr>
              <w:t xml:space="preserve">XGBoost</w:t>
            </w:r>
          </w:p>
        </w:tc>
      </w:tr>
      <w:tr>
        <w:tc>
          <w:tcPr>
            <w:tcW w:type="dxa" w:w="25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360"/>
            </w:pPr>
            <w:r>
              <w:rPr>
                <w:b w:val="false"/>
                <w:bCs w:val="false"/>
                <w:sz w:val="20"/>
                <w:szCs w:val="20"/>
              </w:rPr>
              <w:t xml:space="preserve">Accuracy</w:t>
            </w:r>
          </w:p>
        </w:tc>
        <w:tc>
          <w:tcPr>
            <w:tcW w:type="dxa" w:w="2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360"/>
            </w:pPr>
            <w:r>
              <w:rPr>
                <w:b w:val="false"/>
                <w:bCs w:val="false"/>
                <w:sz w:val="20"/>
                <w:szCs w:val="20"/>
              </w:rPr>
              <w:t xml:space="preserve">91.76%</w:t>
            </w:r>
          </w:p>
        </w:tc>
        <w:tc>
          <w:tcPr>
            <w:tcW w:type="dxa" w:w="2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360"/>
            </w:pPr>
            <w:r>
              <w:rPr>
                <w:b w:val="false"/>
                <w:bCs w:val="false"/>
                <w:sz w:val="20"/>
                <w:szCs w:val="20"/>
              </w:rPr>
              <w:t xml:space="preserve">90.19%</w:t>
            </w:r>
          </w:p>
        </w:tc>
        <w:tc>
          <w:tcPr>
            <w:tcW w:type="dxa" w:w="2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360"/>
            </w:pPr>
            <w:r>
              <w:rPr>
                <w:b w:val="false"/>
                <w:bCs w:val="false"/>
                <w:sz w:val="20"/>
                <w:szCs w:val="20"/>
              </w:rPr>
              <w:t xml:space="preserve">92.02%</w:t>
            </w:r>
          </w:p>
        </w:tc>
      </w:tr>
      <w:tr>
        <w:tc>
          <w:tcPr>
            <w:tcW w:type="dxa" w:w="25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360"/>
            </w:pPr>
            <w:r>
              <w:rPr>
                <w:b w:val="false"/>
                <w:bCs w:val="false"/>
                <w:sz w:val="20"/>
                <w:szCs w:val="20"/>
              </w:rPr>
              <w:t xml:space="preserve">Precision</w:t>
            </w:r>
          </w:p>
        </w:tc>
        <w:tc>
          <w:tcPr>
            <w:tcW w:type="dxa" w:w="2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360"/>
            </w:pPr>
            <w:r>
              <w:rPr>
                <w:b w:val="false"/>
                <w:bCs w:val="false"/>
                <w:sz w:val="20"/>
                <w:szCs w:val="20"/>
              </w:rPr>
              <w:t xml:space="preserve">90.14%</w:t>
            </w:r>
          </w:p>
        </w:tc>
        <w:tc>
          <w:tcPr>
            <w:tcW w:type="dxa" w:w="2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360"/>
            </w:pPr>
            <w:r>
              <w:rPr>
                <w:b w:val="false"/>
                <w:bCs w:val="false"/>
                <w:sz w:val="20"/>
                <w:szCs w:val="20"/>
              </w:rPr>
              <w:t xml:space="preserve">84.23%</w:t>
            </w:r>
          </w:p>
        </w:tc>
        <w:tc>
          <w:tcPr>
            <w:tcW w:type="dxa" w:w="2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360"/>
            </w:pPr>
            <w:r>
              <w:rPr>
                <w:b w:val="false"/>
                <w:bCs w:val="false"/>
                <w:sz w:val="20"/>
                <w:szCs w:val="20"/>
              </w:rPr>
              <w:t xml:space="preserve">90.18%</w:t>
            </w:r>
          </w:p>
        </w:tc>
      </w:tr>
      <w:tr>
        <w:tc>
          <w:tcPr>
            <w:tcW w:type="dxa" w:w="25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360"/>
            </w:pPr>
            <w:r>
              <w:rPr>
                <w:b w:val="false"/>
                <w:bCs w:val="false"/>
                <w:sz w:val="20"/>
                <w:szCs w:val="20"/>
              </w:rPr>
              <w:t xml:space="preserve">Recall (detection rate)</w:t>
            </w:r>
          </w:p>
        </w:tc>
        <w:tc>
          <w:tcPr>
            <w:tcW w:type="dxa" w:w="2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360"/>
            </w:pPr>
            <w:r>
              <w:rPr>
                <w:b w:val="false"/>
                <w:bCs w:val="false"/>
                <w:sz w:val="20"/>
                <w:szCs w:val="20"/>
              </w:rPr>
              <w:t xml:space="preserve">94.43%</w:t>
            </w:r>
          </w:p>
        </w:tc>
        <w:tc>
          <w:tcPr>
            <w:tcW w:type="dxa" w:w="2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360"/>
            </w:pPr>
            <w:r>
              <w:rPr>
                <w:b w:val="false"/>
                <w:bCs w:val="false"/>
                <w:sz w:val="20"/>
                <w:szCs w:val="20"/>
              </w:rPr>
              <w:t xml:space="preserve">99.74%</w:t>
            </w:r>
          </w:p>
        </w:tc>
        <w:tc>
          <w:tcPr>
            <w:tcW w:type="dxa" w:w="2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360"/>
            </w:pPr>
            <w:r>
              <w:rPr>
                <w:b w:val="false"/>
                <w:bCs w:val="false"/>
                <w:sz w:val="20"/>
                <w:szCs w:val="20"/>
              </w:rPr>
              <w:t xml:space="preserve">94.94%</w:t>
            </w:r>
          </w:p>
        </w:tc>
      </w:tr>
      <w:tr>
        <w:tc>
          <w:tcPr>
            <w:tcW w:type="dxa" w:w="25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360"/>
            </w:pPr>
            <w:r>
              <w:rPr>
                <w:b w:val="false"/>
                <w:bCs w:val="false"/>
                <w:sz w:val="20"/>
                <w:szCs w:val="20"/>
              </w:rPr>
              <w:t xml:space="preserve">F1-score</w:t>
            </w:r>
          </w:p>
        </w:tc>
        <w:tc>
          <w:tcPr>
            <w:tcW w:type="dxa" w:w="2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360"/>
            </w:pPr>
            <w:r>
              <w:rPr>
                <w:b w:val="false"/>
                <w:bCs w:val="false"/>
                <w:sz w:val="20"/>
                <w:szCs w:val="20"/>
              </w:rPr>
              <w:t xml:space="preserve">92.23%</w:t>
            </w:r>
          </w:p>
        </w:tc>
        <w:tc>
          <w:tcPr>
            <w:tcW w:type="dxa" w:w="2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360"/>
            </w:pPr>
            <w:r>
              <w:rPr>
                <w:b w:val="false"/>
                <w:bCs w:val="false"/>
                <w:sz w:val="20"/>
                <w:szCs w:val="20"/>
              </w:rPr>
              <w:t xml:space="preserve">91.33%</w:t>
            </w:r>
          </w:p>
        </w:tc>
        <w:tc>
          <w:tcPr>
            <w:tcW w:type="dxa" w:w="2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360"/>
            </w:pPr>
            <w:r>
              <w:rPr>
                <w:b w:val="false"/>
                <w:bCs w:val="false"/>
                <w:sz w:val="20"/>
                <w:szCs w:val="20"/>
              </w:rPr>
              <w:t xml:space="preserve">92.50%</w:t>
            </w:r>
          </w:p>
        </w:tc>
      </w:tr>
      <w:tr>
        <w:tc>
          <w:tcPr>
            <w:tcW w:type="dxa" w:w="25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360"/>
            </w:pPr>
            <w:r>
              <w:rPr>
                <w:b w:val="false"/>
                <w:bCs w:val="false"/>
                <w:sz w:val="20"/>
                <w:szCs w:val="20"/>
              </w:rPr>
              <w:t xml:space="preserve">False Positive Rate</w:t>
            </w:r>
          </w:p>
        </w:tc>
        <w:tc>
          <w:tcPr>
            <w:tcW w:type="dxa" w:w="2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360"/>
            </w:pPr>
            <w:r>
              <w:rPr>
                <w:b w:val="false"/>
                <w:bCs w:val="false"/>
                <w:sz w:val="20"/>
                <w:szCs w:val="20"/>
              </w:rPr>
              <w:t xml:space="preserve">11.11%</w:t>
            </w:r>
          </w:p>
        </w:tc>
        <w:tc>
          <w:tcPr>
            <w:tcW w:type="dxa" w:w="2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360"/>
            </w:pPr>
            <w:r>
              <w:rPr>
                <w:b w:val="false"/>
                <w:bCs w:val="false"/>
                <w:sz w:val="20"/>
                <w:szCs w:val="20"/>
              </w:rPr>
              <w:t xml:space="preserve">20.09%</w:t>
            </w:r>
          </w:p>
        </w:tc>
        <w:tc>
          <w:tcPr>
            <w:tcW w:type="dxa" w:w="2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360"/>
            </w:pPr>
            <w:r>
              <w:rPr>
                <w:b w:val="false"/>
                <w:bCs w:val="false"/>
                <w:sz w:val="20"/>
                <w:szCs w:val="20"/>
              </w:rPr>
              <w:t xml:space="preserve">11.13%</w:t>
            </w:r>
          </w:p>
        </w:tc>
      </w:tr>
      <w:tr>
        <w:tc>
          <w:tcPr>
            <w:tcW w:type="dxa" w:w="25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360"/>
            </w:pPr>
            <w:r>
              <w:rPr>
                <w:b w:val="false"/>
                <w:bCs w:val="false"/>
                <w:sz w:val="20"/>
                <w:szCs w:val="20"/>
              </w:rPr>
              <w:t xml:space="preserve">ROC-AUC</w:t>
            </w:r>
          </w:p>
        </w:tc>
        <w:tc>
          <w:tcPr>
            <w:tcW w:type="dxa" w:w="2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360"/>
            </w:pPr>
            <w:r>
              <w:rPr>
                <w:b w:val="false"/>
                <w:bCs w:val="false"/>
                <w:sz w:val="20"/>
                <w:szCs w:val="20"/>
              </w:rPr>
              <w:t xml:space="preserve">0.9774</w:t>
            </w:r>
          </w:p>
        </w:tc>
        <w:tc>
          <w:tcPr>
            <w:tcW w:type="dxa" w:w="2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360"/>
            </w:pPr>
            <w:r>
              <w:rPr>
                <w:b w:val="false"/>
                <w:bCs w:val="false"/>
                <w:sz w:val="20"/>
                <w:szCs w:val="20"/>
              </w:rPr>
              <w:t xml:space="preserve">0.9450</w:t>
            </w:r>
          </w:p>
        </w:tc>
        <w:tc>
          <w:tcPr>
            <w:tcW w:type="dxa" w:w="2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360"/>
            </w:pPr>
            <w:r>
              <w:rPr>
                <w:b w:val="false"/>
                <w:bCs w:val="false"/>
                <w:sz w:val="20"/>
                <w:szCs w:val="20"/>
              </w:rPr>
              <w:t xml:space="preserve">0.9805</w:t>
            </w:r>
          </w:p>
        </w:tc>
      </w:tr>
      <w:tr>
        <w:tc>
          <w:tcPr>
            <w:tcW w:type="dxa" w:w="25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360"/>
            </w:pPr>
            <w:r>
              <w:rPr>
                <w:b w:val="false"/>
                <w:bCs w:val="false"/>
                <w:sz w:val="20"/>
                <w:szCs w:val="20"/>
              </w:rPr>
              <w:t xml:space="preserve">PR-AUC</w:t>
            </w:r>
          </w:p>
        </w:tc>
        <w:tc>
          <w:tcPr>
            <w:tcW w:type="dxa" w:w="2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360"/>
            </w:pPr>
            <w:r>
              <w:rPr>
                <w:b w:val="false"/>
                <w:bCs w:val="false"/>
                <w:sz w:val="20"/>
                <w:szCs w:val="20"/>
              </w:rPr>
              <w:t xml:space="preserve">0.9756</w:t>
            </w:r>
          </w:p>
        </w:tc>
        <w:tc>
          <w:tcPr>
            <w:tcW w:type="dxa" w:w="2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360"/>
            </w:pPr>
            <w:r>
              <w:rPr>
                <w:b w:val="false"/>
                <w:bCs w:val="false"/>
                <w:sz w:val="20"/>
                <w:szCs w:val="20"/>
              </w:rPr>
              <w:t xml:space="preserve">0.9348</w:t>
            </w:r>
          </w:p>
        </w:tc>
        <w:tc>
          <w:tcPr>
            <w:tcW w:type="dxa" w:w="2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360"/>
            </w:pPr>
            <w:r>
              <w:rPr>
                <w:b w:val="false"/>
                <w:bCs w:val="false"/>
                <w:sz w:val="20"/>
                <w:szCs w:val="20"/>
              </w:rPr>
              <w:t xml:space="preserve">0.9804</w:t>
            </w:r>
          </w:p>
        </w:tc>
      </w:tr>
      <w:tr>
        <w:tc>
          <w:tcPr>
            <w:tcW w:type="dxa" w:w="25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360"/>
            </w:pPr>
            <w:r>
              <w:rPr>
                <w:b w:val="false"/>
                <w:bCs w:val="false"/>
                <w:sz w:val="20"/>
                <w:szCs w:val="20"/>
              </w:rPr>
              <w:t xml:space="preserve">True/False Positives</w:t>
            </w:r>
          </w:p>
        </w:tc>
        <w:tc>
          <w:tcPr>
            <w:tcW w:type="dxa" w:w="2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360"/>
            </w:pPr>
            <w:r>
              <w:rPr>
                <w:b w:val="false"/>
                <w:bCs w:val="false"/>
                <w:sz w:val="20"/>
                <w:szCs w:val="20"/>
              </w:rPr>
              <w:t xml:space="preserve">15,821 / 1,730</w:t>
            </w:r>
          </w:p>
        </w:tc>
        <w:tc>
          <w:tcPr>
            <w:tcW w:type="dxa" w:w="2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360"/>
            </w:pPr>
            <w:r>
              <w:rPr>
                <w:b w:val="false"/>
                <w:bCs w:val="false"/>
                <w:sz w:val="20"/>
                <w:szCs w:val="20"/>
              </w:rPr>
              <w:t xml:space="preserve">16,711 / 3,128</w:t>
            </w:r>
          </w:p>
        </w:tc>
        <w:tc>
          <w:tcPr>
            <w:tcW w:type="dxa" w:w="2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360"/>
            </w:pPr>
            <w:r>
              <w:rPr>
                <w:b w:val="false"/>
                <w:bCs w:val="false"/>
                <w:sz w:val="20"/>
                <w:szCs w:val="20"/>
              </w:rPr>
              <w:t xml:space="preserve">15,907 / 1,732</w:t>
            </w:r>
          </w:p>
        </w:tc>
      </w:tr>
      <w:tr>
        <w:tc>
          <w:tcPr>
            <w:tcW w:type="dxa" w:w="25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360"/>
            </w:pPr>
            <w:r>
              <w:rPr>
                <w:b w:val="false"/>
                <w:bCs w:val="false"/>
                <w:sz w:val="20"/>
                <w:szCs w:val="20"/>
              </w:rPr>
              <w:t xml:space="preserve">5-fold CV accuracy</w:t>
            </w:r>
          </w:p>
        </w:tc>
        <w:tc>
          <w:tcPr>
            <w:tcW w:type="dxa" w:w="2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360"/>
            </w:pPr>
            <w:r>
              <w:rPr>
                <w:b w:val="false"/>
                <w:bCs w:val="false"/>
                <w:sz w:val="20"/>
                <w:szCs w:val="20"/>
              </w:rPr>
              <w:t xml:space="preserve">91.40% ± 0.19%</w:t>
            </w:r>
          </w:p>
        </w:tc>
        <w:tc>
          <w:tcPr>
            <w:tcW w:type="dxa" w:w="2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360"/>
            </w:pPr>
            <w:r>
              <w:rPr>
                <w:b w:val="false"/>
                <w:bCs w:val="false"/>
                <w:sz w:val="20"/>
                <w:szCs w:val="20"/>
              </w:rPr>
              <w:t xml:space="preserve">n/a (cost)</w:t>
            </w:r>
          </w:p>
        </w:tc>
        <w:tc>
          <w:tcPr>
            <w:tcW w:type="dxa" w:w="21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360"/>
            </w:pPr>
            <w:r>
              <w:rPr>
                <w:b w:val="false"/>
                <w:bCs w:val="false"/>
                <w:sz w:val="20"/>
                <w:szCs w:val="20"/>
              </w:rPr>
              <w:t xml:space="preserve">91.63% ± 0.18%</w:t>
            </w:r>
          </w:p>
        </w:tc>
      </w:tr>
    </w:tbl>
    <w:p>
      <w:pPr>
        <w:spacing w:after="120" w:line="360"/>
        <w:jc w:val="both"/>
      </w:pPr>
      <w:r>
        <w:rPr>
          <w:sz w:val="22"/>
          <w:szCs w:val="22"/>
        </w:rPr>
        <w:t xml:space="preserve"/>
      </w:r>
    </w:p>
    <w:p>
      <w:pPr>
        <w:spacing w:after="60" w:before="120"/>
        <w:jc w:val="center"/>
      </w:pPr>
      <w:r>
        <w:drawing>
          <wp:inline distT="0" distB="0" distL="0" distR="0">
            <wp:extent cx="5905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019300"/>
                    </a:xfrm>
                    <a:prstGeom prst="rect">
                      <a:avLst/>
                    </a:prstGeom>
                  </pic:spPr>
                </pic:pic>
              </a:graphicData>
            </a:graphic>
          </wp:inline>
        </w:drawing>
      </w:r>
    </w:p>
    <w:p>
      <w:pPr>
        <w:spacing w:after="200"/>
        <w:jc w:val="center"/>
      </w:pPr>
      <w:r>
        <w:rPr>
          <w:i/>
          <w:iCs/>
          <w:sz w:val="18"/>
          <w:szCs w:val="18"/>
        </w:rPr>
        <w:t xml:space="preserve">Figure B3. Confusion matrices on the UNSW-NB15 test set.</w:t>
      </w:r>
    </w:p>
    <w:p>
      <w:pPr>
        <w:spacing w:after="60" w:before="120"/>
        <w:jc w:val="center"/>
      </w:pPr>
      <w:r>
        <w:drawing>
          <wp:inline distT="0" distB="0" distL="0" distR="0">
            <wp:extent cx="59055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009900"/>
                    </a:xfrm>
                    <a:prstGeom prst="rect">
                      <a:avLst/>
                    </a:prstGeom>
                  </pic:spPr>
                </pic:pic>
              </a:graphicData>
            </a:graphic>
          </wp:inline>
        </w:drawing>
      </w:r>
    </w:p>
    <w:p>
      <w:pPr>
        <w:spacing w:after="200"/>
        <w:jc w:val="center"/>
      </w:pPr>
      <w:r>
        <w:rPr>
          <w:i/>
          <w:iCs/>
          <w:sz w:val="18"/>
          <w:szCs w:val="18"/>
        </w:rPr>
        <w:t xml:space="preserve">Figure B4. Metric comparison across the three models.</w:t>
      </w:r>
    </w:p>
    <w:p>
      <w:pPr>
        <w:spacing w:after="60" w:before="120"/>
        <w:jc w:val="center"/>
      </w:pPr>
      <w:r>
        <w:drawing>
          <wp:inline distT="0" distB="0" distL="0" distR="0">
            <wp:extent cx="5905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219325"/>
                    </a:xfrm>
                    <a:prstGeom prst="rect">
                      <a:avLst/>
                    </a:prstGeom>
                  </pic:spPr>
                </pic:pic>
              </a:graphicData>
            </a:graphic>
          </wp:inline>
        </w:drawing>
      </w:r>
    </w:p>
    <w:p>
      <w:pPr>
        <w:spacing w:after="200"/>
        <w:jc w:val="center"/>
      </w:pPr>
      <w:r>
        <w:rPr>
          <w:i/>
          <w:iCs/>
          <w:sz w:val="18"/>
          <w:szCs w:val="18"/>
        </w:rPr>
        <w:t xml:space="preserve">Figure B5. ROC and precision-recall curves.</w:t>
      </w:r>
    </w:p>
    <w:p>
      <w:pPr>
        <w:spacing w:after="60" w:before="120"/>
        <w:jc w:val="center"/>
      </w:pPr>
      <w:r>
        <w:drawing>
          <wp:inline distT="0" distB="0" distL="0" distR="0">
            <wp:extent cx="5905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381500"/>
                    </a:xfrm>
                    <a:prstGeom prst="rect">
                      <a:avLst/>
                    </a:prstGeom>
                  </pic:spPr>
                </pic:pic>
              </a:graphicData>
            </a:graphic>
          </wp:inline>
        </w:drawing>
      </w:r>
    </w:p>
    <w:p>
      <w:pPr>
        <w:spacing w:after="200"/>
        <w:jc w:val="center"/>
      </w:pPr>
      <w:r>
        <w:rPr>
          <w:i/>
          <w:iCs/>
          <w:sz w:val="18"/>
          <w:szCs w:val="18"/>
        </w:rPr>
        <w:t xml:space="preserve">Figure B6. Detection rate per attack family (Normal row shows specificity).</w:t>
      </w:r>
    </w:p>
    <w:p>
      <w:pPr>
        <w:pStyle w:val="Heading2"/>
        <w:spacing w:after="120" w:before="240"/>
      </w:pPr>
      <w:r>
        <w:rPr>
          <w:b/>
          <w:bCs/>
          <w:color w:val="000000"/>
          <w:sz w:val="26"/>
          <w:szCs w:val="26"/>
        </w:rPr>
        <w:t xml:space="preserve">3.2.2 Edge/IoT deployment feasibility</w:t>
      </w:r>
    </w:p>
    <w:p>
      <w:pPr>
        <w:spacing w:after="120" w:line="360"/>
        <w:jc w:val="both"/>
      </w:pPr>
      <w:r>
        <w:rPr>
          <w:sz w:val="22"/>
          <w:szCs w:val="22"/>
        </w:rPr>
        <w:t xml:space="preserve">Assignment 1 required assessing deployment feasibility on constrained devices via feature count, model size and inference time. With the feature space reduced to 20 features:</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1880"/>
        <w:gridCol w:w="1900"/>
        <w:gridCol w:w="1760"/>
        <w:gridCol w:w="1900"/>
        <w:gridCol w:w="1600"/>
      </w:tblGrid>
      <w:tr>
        <w:tc>
          <w:tcPr>
            <w:tcW w:type="dxa" w:w="1880"/>
            <w:tcBorders>
              <w:top w:val="single" w:color="000000" w:sz="8"/>
              <w:left w:val="single" w:color="000000" w:sz="8"/>
              <w:bottom w:val="single" w:color="000000" w:sz="8"/>
              <w:right w:val="single" w:color="000000" w:sz="8"/>
            </w:tcBorders>
            <w:shd w:fill="FFFF00" w:val="clear"/>
            <w:tcMar>
              <w:top w:type="dxa" w:w="100"/>
              <w:left w:type="dxa" w:w="100"/>
              <w:bottom w:type="dxa" w:w="100"/>
              <w:right w:type="dxa" w:w="100"/>
            </w:tcMar>
          </w:tcPr>
          <w:p>
            <w:pPr>
              <w:spacing w:line="360"/>
            </w:pPr>
            <w:r>
              <w:rPr>
                <w:b/>
                <w:bCs/>
                <w:sz w:val="20"/>
                <w:szCs w:val="20"/>
              </w:rPr>
              <w:t xml:space="preserve">Model</w:t>
            </w:r>
          </w:p>
        </w:tc>
        <w:tc>
          <w:tcPr>
            <w:tcW w:type="dxa" w:w="1900"/>
            <w:tcBorders>
              <w:top w:val="single" w:color="000000" w:sz="8"/>
              <w:left w:val="single" w:color="000000" w:sz="8"/>
              <w:bottom w:val="single" w:color="000000" w:sz="8"/>
              <w:right w:val="single" w:color="000000" w:sz="8"/>
            </w:tcBorders>
            <w:shd w:fill="FFFF00" w:val="clear"/>
            <w:tcMar>
              <w:top w:type="dxa" w:w="100"/>
              <w:left w:type="dxa" w:w="100"/>
              <w:bottom w:type="dxa" w:w="100"/>
              <w:right w:type="dxa" w:w="100"/>
            </w:tcMar>
          </w:tcPr>
          <w:p>
            <w:pPr>
              <w:spacing w:line="360"/>
            </w:pPr>
            <w:r>
              <w:rPr>
                <w:b/>
                <w:bCs/>
                <w:sz w:val="20"/>
                <w:szCs w:val="20"/>
              </w:rPr>
              <w:t xml:space="preserve">Training time</w:t>
            </w:r>
          </w:p>
        </w:tc>
        <w:tc>
          <w:tcPr>
            <w:tcW w:type="dxa" w:w="1760"/>
            <w:tcBorders>
              <w:top w:val="single" w:color="000000" w:sz="8"/>
              <w:left w:val="single" w:color="000000" w:sz="8"/>
              <w:bottom w:val="single" w:color="000000" w:sz="8"/>
              <w:right w:val="single" w:color="000000" w:sz="8"/>
            </w:tcBorders>
            <w:shd w:fill="FFFF00" w:val="clear"/>
            <w:tcMar>
              <w:top w:type="dxa" w:w="100"/>
              <w:left w:type="dxa" w:w="100"/>
              <w:bottom w:type="dxa" w:w="100"/>
              <w:right w:type="dxa" w:w="100"/>
            </w:tcMar>
          </w:tcPr>
          <w:p>
            <w:pPr>
              <w:spacing w:line="360"/>
            </w:pPr>
            <w:r>
              <w:rPr>
                <w:b/>
                <w:bCs/>
                <w:sz w:val="20"/>
                <w:szCs w:val="20"/>
              </w:rPr>
              <w:t xml:space="preserve">Serialized size</w:t>
            </w:r>
          </w:p>
        </w:tc>
        <w:tc>
          <w:tcPr>
            <w:tcW w:type="dxa" w:w="1900"/>
            <w:tcBorders>
              <w:top w:val="single" w:color="000000" w:sz="8"/>
              <w:left w:val="single" w:color="000000" w:sz="8"/>
              <w:bottom w:val="single" w:color="000000" w:sz="8"/>
              <w:right w:val="single" w:color="000000" w:sz="8"/>
            </w:tcBorders>
            <w:shd w:fill="FFFF00" w:val="clear"/>
            <w:tcMar>
              <w:top w:type="dxa" w:w="100"/>
              <w:left w:type="dxa" w:w="100"/>
              <w:bottom w:type="dxa" w:w="100"/>
              <w:right w:type="dxa" w:w="100"/>
            </w:tcMar>
          </w:tcPr>
          <w:p>
            <w:pPr>
              <w:spacing w:line="360"/>
            </w:pPr>
            <w:r>
              <w:rPr>
                <w:b/>
                <w:bCs/>
                <w:sz w:val="20"/>
                <w:szCs w:val="20"/>
              </w:rPr>
              <w:t xml:space="preserve">Inference latency / sample</w:t>
            </w:r>
          </w:p>
        </w:tc>
        <w:tc>
          <w:tcPr>
            <w:tcW w:type="dxa" w:w="1600"/>
            <w:tcBorders>
              <w:top w:val="single" w:color="000000" w:sz="8"/>
              <w:left w:val="single" w:color="000000" w:sz="8"/>
              <w:bottom w:val="single" w:color="000000" w:sz="8"/>
              <w:right w:val="single" w:color="000000" w:sz="8"/>
            </w:tcBorders>
            <w:shd w:fill="FFFF00" w:val="clear"/>
            <w:tcMar>
              <w:top w:type="dxa" w:w="100"/>
              <w:left w:type="dxa" w:w="100"/>
              <w:bottom w:type="dxa" w:w="100"/>
              <w:right w:type="dxa" w:w="100"/>
            </w:tcMar>
          </w:tcPr>
          <w:p>
            <w:pPr>
              <w:spacing w:line="360"/>
            </w:pPr>
            <w:r>
              <w:rPr>
                <w:b/>
                <w:bCs/>
                <w:sz w:val="20"/>
                <w:szCs w:val="20"/>
              </w:rPr>
              <w:t xml:space="preserve">Throughput</w:t>
            </w:r>
          </w:p>
        </w:tc>
      </w:tr>
      <w:tr>
        <w:tc>
          <w:tcPr>
            <w:tcW w:type="dxa" w:w="188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360"/>
            </w:pPr>
            <w:r>
              <w:rPr>
                <w:b w:val="false"/>
                <w:bCs w:val="false"/>
                <w:sz w:val="20"/>
                <w:szCs w:val="20"/>
              </w:rPr>
              <w:t xml:space="preserve">Random Forest</w:t>
            </w:r>
          </w:p>
        </w:tc>
        <w:tc>
          <w:tcPr>
            <w:tcW w:type="dxa" w:w="190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360"/>
            </w:pPr>
            <w:r>
              <w:rPr>
                <w:b w:val="false"/>
                <w:bCs w:val="false"/>
                <w:sz w:val="20"/>
                <w:szCs w:val="20"/>
              </w:rPr>
              <w:t xml:space="preserve">13.5 s (75,418 rows)</w:t>
            </w:r>
          </w:p>
        </w:tc>
        <w:tc>
          <w:tcPr>
            <w:tcW w:type="dxa" w:w="17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360"/>
            </w:pPr>
            <w:r>
              <w:rPr>
                <w:b w:val="false"/>
                <w:bCs w:val="false"/>
                <w:sz w:val="20"/>
                <w:szCs w:val="20"/>
              </w:rPr>
              <w:t xml:space="preserve">22.8 MB</w:t>
            </w:r>
          </w:p>
        </w:tc>
        <w:tc>
          <w:tcPr>
            <w:tcW w:type="dxa" w:w="190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360"/>
            </w:pPr>
            <w:r>
              <w:rPr>
                <w:b w:val="false"/>
                <w:bCs w:val="false"/>
                <w:sz w:val="20"/>
                <w:szCs w:val="20"/>
              </w:rPr>
              <w:t xml:space="preserve">11.31 µs</w:t>
            </w:r>
          </w:p>
        </w:tc>
        <w:tc>
          <w:tcPr>
            <w:tcW w:type="dxa" w:w="160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360"/>
            </w:pPr>
            <w:r>
              <w:rPr>
                <w:b w:val="false"/>
                <w:bCs w:val="false"/>
                <w:sz w:val="20"/>
                <w:szCs w:val="20"/>
              </w:rPr>
              <w:t xml:space="preserve">88,456 flows/s</w:t>
            </w:r>
          </w:p>
        </w:tc>
      </w:tr>
      <w:tr>
        <w:tc>
          <w:tcPr>
            <w:tcW w:type="dxa" w:w="188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360"/>
            </w:pPr>
            <w:r>
              <w:rPr>
                <w:b w:val="false"/>
                <w:bCs w:val="false"/>
                <w:sz w:val="20"/>
                <w:szCs w:val="20"/>
              </w:rPr>
              <w:t xml:space="preserve">SVM (RBF)</w:t>
            </w:r>
          </w:p>
        </w:tc>
        <w:tc>
          <w:tcPr>
            <w:tcW w:type="dxa" w:w="190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360"/>
            </w:pPr>
            <w:r>
              <w:rPr>
                <w:b w:val="false"/>
                <w:bCs w:val="false"/>
                <w:sz w:val="20"/>
                <w:szCs w:val="20"/>
              </w:rPr>
              <w:t xml:space="preserve">12.81 s (20,000 rows)</w:t>
            </w:r>
          </w:p>
        </w:tc>
        <w:tc>
          <w:tcPr>
            <w:tcW w:type="dxa" w:w="17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360"/>
            </w:pPr>
            <w:r>
              <w:rPr>
                <w:b w:val="false"/>
                <w:bCs w:val="false"/>
                <w:sz w:val="20"/>
                <w:szCs w:val="20"/>
              </w:rPr>
              <w:t xml:space="preserve">407.3 KB</w:t>
            </w:r>
          </w:p>
        </w:tc>
        <w:tc>
          <w:tcPr>
            <w:tcW w:type="dxa" w:w="190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360"/>
            </w:pPr>
            <w:r>
              <w:rPr>
                <w:b w:val="false"/>
                <w:bCs w:val="false"/>
                <w:sz w:val="20"/>
                <w:szCs w:val="20"/>
              </w:rPr>
              <w:t xml:space="preserve">634 µs</w:t>
            </w:r>
          </w:p>
        </w:tc>
        <w:tc>
          <w:tcPr>
            <w:tcW w:type="dxa" w:w="160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360"/>
            </w:pPr>
            <w:r>
              <w:rPr>
                <w:b w:val="false"/>
                <w:bCs w:val="false"/>
                <w:sz w:val="20"/>
                <w:szCs w:val="20"/>
              </w:rPr>
              <w:t xml:space="preserve">1,577 flows/s</w:t>
            </w:r>
          </w:p>
        </w:tc>
      </w:tr>
      <w:tr>
        <w:tc>
          <w:tcPr>
            <w:tcW w:type="dxa" w:w="188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360"/>
            </w:pPr>
            <w:r>
              <w:rPr>
                <w:b w:val="false"/>
                <w:bCs w:val="false"/>
                <w:sz w:val="20"/>
                <w:szCs w:val="20"/>
              </w:rPr>
              <w:t xml:space="preserve">XGBoost</w:t>
            </w:r>
          </w:p>
        </w:tc>
        <w:tc>
          <w:tcPr>
            <w:tcW w:type="dxa" w:w="190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360"/>
            </w:pPr>
            <w:r>
              <w:rPr>
                <w:b w:val="false"/>
                <w:bCs w:val="false"/>
                <w:sz w:val="20"/>
                <w:szCs w:val="20"/>
              </w:rPr>
              <w:t xml:space="preserve">6.48 s (75,418 rows)</w:t>
            </w:r>
          </w:p>
        </w:tc>
        <w:tc>
          <w:tcPr>
            <w:tcW w:type="dxa" w:w="176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360"/>
            </w:pPr>
            <w:r>
              <w:rPr>
                <w:b w:val="false"/>
                <w:bCs w:val="false"/>
                <w:sz w:val="20"/>
                <w:szCs w:val="20"/>
              </w:rPr>
              <w:t xml:space="preserve">808.1 KB</w:t>
            </w:r>
          </w:p>
        </w:tc>
        <w:tc>
          <w:tcPr>
            <w:tcW w:type="dxa" w:w="190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360"/>
            </w:pPr>
            <w:r>
              <w:rPr>
                <w:b w:val="false"/>
                <w:bCs w:val="false"/>
                <w:sz w:val="20"/>
                <w:szCs w:val="20"/>
              </w:rPr>
              <w:t xml:space="preserve">4.89 µs</w:t>
            </w:r>
          </w:p>
        </w:tc>
        <w:tc>
          <w:tcPr>
            <w:tcW w:type="dxa" w:w="160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360"/>
            </w:pPr>
            <w:r>
              <w:rPr>
                <w:b w:val="false"/>
                <w:bCs w:val="false"/>
                <w:sz w:val="20"/>
                <w:szCs w:val="20"/>
              </w:rPr>
              <w:t xml:space="preserve">204,649 flows/s</w:t>
            </w:r>
          </w:p>
        </w:tc>
      </w:tr>
    </w:tbl>
    <w:p>
      <w:pPr>
        <w:spacing w:after="120" w:line="360"/>
        <w:jc w:val="both"/>
      </w:pPr>
      <w:r>
        <w:rPr>
          <w:sz w:val="22"/>
          <w:szCs w:val="22"/>
        </w:rPr>
        <w:t xml:space="preserve"/>
      </w:r>
    </w:p>
    <w:p>
      <w:pPr>
        <w:spacing w:after="60" w:before="120"/>
        <w:jc w:val="center"/>
      </w:pPr>
      <w:r>
        <w:drawing>
          <wp:inline distT="0" distB="0" distL="0" distR="0">
            <wp:extent cx="59055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352675"/>
                    </a:xfrm>
                    <a:prstGeom prst="rect">
                      <a:avLst/>
                    </a:prstGeom>
                  </pic:spPr>
                </pic:pic>
              </a:graphicData>
            </a:graphic>
          </wp:inline>
        </w:drawing>
      </w:r>
    </w:p>
    <w:p>
      <w:pPr>
        <w:spacing w:after="200"/>
        <w:jc w:val="center"/>
      </w:pPr>
      <w:r>
        <w:rPr>
          <w:i/>
          <w:iCs/>
          <w:sz w:val="18"/>
          <w:szCs w:val="18"/>
        </w:rPr>
        <w:t xml:space="preserve">Figure B7. Model size and per-sample inference latency (log scale).</w:t>
      </w:r>
    </w:p>
    <w:p>
      <w:pPr>
        <w:pStyle w:val="Heading2"/>
        <w:spacing w:after="120" w:before="240"/>
      </w:pPr>
      <w:r>
        <w:rPr>
          <w:b/>
          <w:bCs/>
          <w:color w:val="000000"/>
          <w:sz w:val="26"/>
          <w:szCs w:val="26"/>
        </w:rPr>
        <w:t xml:space="preserve">3.2.3 Explainability: feature importance and SHAP</w:t>
      </w:r>
    </w:p>
    <w:p>
      <w:pPr>
        <w:spacing w:after="120" w:line="360"/>
        <w:jc w:val="both"/>
      </w:pPr>
      <w:r>
        <w:rPr>
          <w:sz w:val="22"/>
          <w:szCs w:val="22"/>
        </w:rPr>
        <w:t xml:space="preserve">Impurity-based feature importances were extracted from both tree ensembles, and SHAP (TreeExplainer) was applied to the XGBoost model on a 2,000-record test subsample. The most influential features were sttl, dbytes, ct_state_ttl, smean, sbytes, giving analysts a concrete, per-feature account of why traffic is classified as malicious [11].</w:t>
      </w:r>
    </w:p>
    <w:p>
      <w:pPr>
        <w:spacing w:after="60" w:before="120"/>
        <w:jc w:val="center"/>
      </w:pPr>
      <w:r>
        <w:drawing>
          <wp:inline distT="0" distB="0" distL="0" distR="0">
            <wp:extent cx="59055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781300"/>
                    </a:xfrm>
                    <a:prstGeom prst="rect">
                      <a:avLst/>
                    </a:prstGeom>
                  </pic:spPr>
                </pic:pic>
              </a:graphicData>
            </a:graphic>
          </wp:inline>
        </w:drawing>
      </w:r>
    </w:p>
    <w:p>
      <w:pPr>
        <w:spacing w:after="200"/>
        <w:jc w:val="center"/>
      </w:pPr>
      <w:r>
        <w:rPr>
          <w:i/>
          <w:iCs/>
          <w:sz w:val="18"/>
          <w:szCs w:val="18"/>
        </w:rPr>
        <w:t xml:space="preserve">Figure B8. Top-15 feature importances (Random Forest and XGBoost).</w:t>
      </w:r>
    </w:p>
    <w:p>
      <w:pPr>
        <w:spacing w:after="60" w:before="120"/>
        <w:jc w:val="center"/>
      </w:pPr>
      <w:r>
        <w:drawing>
          <wp:inline distT="0" distB="0" distL="0" distR="0">
            <wp:extent cx="59055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4133850"/>
                    </a:xfrm>
                    <a:prstGeom prst="rect">
                      <a:avLst/>
                    </a:prstGeom>
                  </pic:spPr>
                </pic:pic>
              </a:graphicData>
            </a:graphic>
          </wp:inline>
        </w:drawing>
      </w:r>
    </w:p>
    <w:p>
      <w:pPr>
        <w:spacing w:after="200"/>
        <w:jc w:val="center"/>
      </w:pPr>
      <w:r>
        <w:rPr>
          <w:i/>
          <w:iCs/>
          <w:sz w:val="18"/>
          <w:szCs w:val="18"/>
        </w:rPr>
        <w:t xml:space="preserve">Figure B9. SHAP summary for XGBoost - impact of each feature on the attack probability.</w:t>
      </w:r>
    </w:p>
    <w:p>
      <w:pPr>
        <w:spacing w:after="120" w:line="360"/>
        <w:jc w:val="both"/>
      </w:pPr>
      <w:r>
        <w:rPr>
          <w:sz w:val="22"/>
          <w:szCs w:val="22"/>
        </w:rPr>
        <w:t xml:space="preserve">A critical observation: TTL-derived features (sttl, ct_state_ttl, dttl) carry most of the signal. Published feature-analysis work on UNSW-NB15 [12] notes this is partly an artifact of how the dataset was generated (attack and benign traffic originate from hosts with different TTL defaults), so a model leaning on TTL may not transfer unchanged to other networks. This is a concrete instance of the data-representativeness limitation anticipated in Assignment 1, and an argument for the hybrid architecture in which learned models are fused with signature rules rather than trusted alone.</w:t>
      </w:r>
    </w:p>
    <w:p>
      <w:pPr>
        <w:pStyle w:val="Heading2"/>
        <w:spacing w:after="120" w:before="240"/>
      </w:pPr>
      <w:r>
        <w:rPr>
          <w:b/>
          <w:bCs/>
          <w:color w:val="000000"/>
          <w:sz w:val="26"/>
          <w:szCs w:val="26"/>
        </w:rPr>
        <w:t xml:space="preserve">3.2.4 Benchmark analysis summary</w:t>
      </w:r>
    </w:p>
    <w:p>
      <w:pPr>
        <w:spacing w:after="120" w:line="360"/>
        <w:jc w:val="both"/>
      </w:pPr>
      <w:r>
        <w:rPr>
          <w:sz w:val="22"/>
          <w:szCs w:val="22"/>
        </w:rPr>
        <w:t xml:space="preserve">XGBoost [10] is the best overall model and by far the most deployable: it leads on accuracy (92.02%), F1 (92.50%) and ROC-AUC (0.9805) while being ~28x smaller than Random Forest and 2.3x faster per flow. The RBF-SVM reaches near-perfect recall (99.74%, only 44 missed attacks) but misflags 20.09% of benign traffic and needs 634 microseconds per flow - precisely the alert-fatigue failure mode identified in the Assignment 1 literature review, and unsuitable for edge deployment. Five-fold cross-validation (RF 91.40% +/- 0.19%, XGBoost 91.63% +/- 0.18%) is within half a point of the held-out test accuracy, indicating no overfitting. Published binary classifiers on UNSW-NB15 report 89-99% accuracy; the top of that range typically evaluates without removing the 67,601 duplicate records, which inflates accuracy through memorization. After deduplication our results sit in the range reported by careful studies, and the ~11% false-positive rate of the tree models is the quantitative justification for the ensemble + human-in-the-loop layer: the live hybrid engine reduces FPR to 0.28% by fusing the ML verdict with signature rules and a suspicious tier.</w:t>
      </w:r>
    </w:p>
    <w:p>
      <w:pPr>
        <w:pStyle w:val="Heading2"/>
        <w:spacing w:after="120" w:before="240"/>
      </w:pPr>
      <w:r>
        <w:rPr>
          <w:b/>
          <w:bCs/>
          <w:color w:val="000000"/>
          <w:sz w:val="26"/>
          <w:szCs w:val="26"/>
        </w:rPr>
        <w:t xml:space="preserve">Additional references (append to the reference list)</w:t>
      </w:r>
    </w:p>
    <w:p>
      <w:pPr>
        <w:spacing w:after="120" w:line="360"/>
        <w:jc w:val="both"/>
      </w:pPr>
      <w:r>
        <w:rPr>
          <w:sz w:val="22"/>
          <w:szCs w:val="22"/>
        </w:rPr>
        <w:t xml:space="preserve">[9] N. Moustafa and J. Slay, “UNSW-NB15: A comprehensive data set for network intrusion detection systems,” in Proc. Military Communications and Information Systems Conference (MilCIS), Canberra, Australia, 2015, pp. 1–6, doi: 10.1109/MilCIS.2015.7348942.</w:t>
      </w:r>
    </w:p>
    <w:p>
      <w:pPr>
        <w:spacing w:after="120" w:line="360"/>
        <w:jc w:val="both"/>
      </w:pPr>
      <w:r>
        <w:rPr>
          <w:sz w:val="22"/>
          <w:szCs w:val="22"/>
        </w:rPr>
        <w:t xml:space="preserve">[10] T. Chen and C. Guestrin, “XGBoost: A scalable tree boosting system,” in Proc. 22nd ACM SIGKDD Int. Conf. Knowledge Discovery and Data Mining, San Francisco, CA, USA, 2016, pp. 785–794, doi: 10.1145/2939672.2939785.</w:t>
      </w:r>
    </w:p>
    <w:p>
      <w:pPr>
        <w:spacing w:after="120" w:line="360"/>
        <w:jc w:val="both"/>
      </w:pPr>
      <w:r>
        <w:rPr>
          <w:sz w:val="22"/>
          <w:szCs w:val="22"/>
        </w:rPr>
        <w:t xml:space="preserve">[11] S. M. Lundberg and S.-I. Lee, “A unified approach to interpreting model predictions,” in Proc. Advances in Neural Information Processing Systems (NeurIPS), Long Beach, CA, USA, 2017, pp. 4765–4774.</w:t>
      </w:r>
    </w:p>
    <w:p>
      <w:pPr>
        <w:spacing w:after="120" w:line="360"/>
        <w:jc w:val="both"/>
      </w:pPr>
      <w:r>
        <w:rPr>
          <w:sz w:val="22"/>
          <w:szCs w:val="22"/>
        </w:rPr>
        <w:t xml:space="preserve">[12] M. Sarhan, S. Layeghy, and M. Portmann, “Feature analysis for machine learning-based IoT intrusion detection,” arXiv preprint arXiv:2108.12732, 2021.</w:t>
      </w:r>
    </w:p>
    <w:p>
      <w:pPr>
        <w:spacing w:after="120" w:line="360"/>
        <w:jc w:val="both"/>
      </w:pPr>
      <w:r>
        <w:rPr>
          <w:sz w:val="22"/>
          <w:szCs w:val="22"/>
        </w:rPr>
        <w:t xml:space="preserve">[13] F. Pedregosa et al., “Scikit-learn: Machine learning in Python,” Journal of Machine Learning Research, vol. 12, pp. 2825–2830, 2011.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2d6e6ccaff168fc95fab22dbd16bab536e7f50c.png"/><Relationship Id="rId8" Type="http://schemas.openxmlformats.org/officeDocument/2006/relationships/image" Target="media/f6c8560bdf5d79e78d58751e753a102b6da438e4.png"/><Relationship Id="rId9" Type="http://schemas.openxmlformats.org/officeDocument/2006/relationships/image" Target="media/4e519cad8483b2b7092bbd68e9758c602ac8222f.png"/><Relationship Id="rId10" Type="http://schemas.openxmlformats.org/officeDocument/2006/relationships/image" Target="media/19ef681b3f0adc6698791839cf1e5130906fd542.png"/><Relationship Id="rId11" Type="http://schemas.openxmlformats.org/officeDocument/2006/relationships/image" Target="media/3c5dcf4ecbef5e69b0a2306644d87cf69b1b56fd.png"/><Relationship Id="rId12" Type="http://schemas.openxmlformats.org/officeDocument/2006/relationships/image" Target="media/fab7fdc5bda7d27214b30a8132fbf7c7967ea35c.png"/><Relationship Id="rId13" Type="http://schemas.openxmlformats.org/officeDocument/2006/relationships/image" Target="media/ec9f77ae23a8ebbf1e94d7119278cf92ef75de25.png"/><Relationship Id="rId14" Type="http://schemas.openxmlformats.org/officeDocument/2006/relationships/image" Target="media/1e685c20b1d4bcf4bce8cca43e4f4764a741967e.png"/><Relationship Id="rId15" Type="http://schemas.openxmlformats.org/officeDocument/2006/relationships/image" Target="media/7d684a6e54e1203ecd881e2d1a01da74a74dc091.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2026-07-21T11:56:16.876Z</dcterms:created>
  <dcterms:modified xsi:type="dcterms:W3CDTF">2026-07-21T11:56:16.879Z</dcterms:modified>
</cp:coreProperties>
</file>

<file path=docProps/custom.xml><?xml version="1.0" encoding="utf-8"?>
<Properties xmlns="http://schemas.openxmlformats.org/officeDocument/2006/custom-properties" xmlns:vt="http://schemas.openxmlformats.org/officeDocument/2006/docPropsVTypes"/>
</file>