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sz w:val="24"/>
                <w:szCs w:val="24"/>
                <w:rtl w:val="0"/>
              </w:rPr>
              <w:t xml:space="preserve">“No, since Employee password requirements are minimal, which could allow a threat actor to more easily access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sz w:val="24"/>
                <w:szCs w:val="24"/>
                <w:rtl w:val="0"/>
              </w:rPr>
              <w:t xml:space="preserve">secure data/other assets via employee work equipment/the internal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sz w:val="24"/>
                <w:szCs w:val="24"/>
                <w:rtl w:val="0"/>
              </w:rPr>
              <w:t xml:space="preserve">network.”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 - </w:t>
            </w: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sz w:val="24"/>
                <w:szCs w:val="24"/>
                <w:rtl w:val="0"/>
              </w:rPr>
              <w:t xml:space="preserve">“No. Since current assets have been inventoried/listed, but not classified.”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oogle Sans" w:cs="Google Sans" w:eastAsia="Google Sans" w:hAnsi="Google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 - </w:t>
            </w: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sz w:val="24"/>
                <w:szCs w:val="24"/>
                <w:rtl w:val="0"/>
              </w:rPr>
              <w:t xml:space="preserve">“No, since Controls of Least Privilege and separation of duties are not currently in place; all employees have access to internally stored data.”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 - </w:t>
            </w: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sz w:val="24"/>
                <w:szCs w:val="24"/>
                <w:rtl w:val="0"/>
              </w:rPr>
              <w:t xml:space="preserve">“No, since while data is available to all employees, authorization needs to be limited to only the individuals who need access to it to do their jobs.”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A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It is recommended to implement the principle of least privilege and the separation of duties; this involves controlling the number of individuals with access to sensitive data, restricting internal employee access to stored data, and reducing the attack surface, thereby further safeguarding user data security.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Data should be encrypted during receipt, processing, transmission, and local database storage to prevent unauthorized parties from directly utilizing the data if accessed.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Installing an intrusion detection system is recommended to ensure timely alerts and proactive responses in the event of an intrusion.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 disaster recovery plan should be actively developed, and critical company data backed up, to ensure data integrity and availability in the event of an unexpected incident.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Company password policies should be upgraded; passwords failing to meet current minimum complexity standards must be rejected and mandatory changes enforced. Additionally, a centralized password management system that enforces minimum policy requirements should be implemented to further ensure password security and effectiveness.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Legacy systems require monitoring and maintenance, including regular upkeep and appropriate intervention measures.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Multiple controls need to be implemented to improve Botium Toys’ security posture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and better ensure the confidentiality of sensitive information, including: Least Privilege,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disaster recovery plans, password policies, separation of duties, an IDS, ongoing legacy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system management, encryption, and a password management system.</w:t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 address gaps in compliance, Botium Toys needs to implement controls such as Least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Privilege, separation of duties, and encryption. The company also needs to properly</w:t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classify assets, to identify additional controls that may need to be implemented to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improve their security posture and better protect sensitive information.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