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780"/>
        <w:jc w:val="center"/>
      </w:pPr>
      <w:r>
        <w:rPr>
          <w:rFonts w:ascii="Noto Serif CJK SC" w:cs="Noto Serif CJK SC" w:eastAsia="Noto Serif CJK SC" w:hAnsi="Noto Serif CJK SC"/>
          <w:b/>
          <w:bCs/>
          <w:color w:val="2B2118"/>
          <w:sz w:val="72"/>
          <w:szCs w:val="72"/>
        </w:rPr>
        <w:t xml:space="preserve">氓</w:t>
      </w:r>
    </w:p>
    <w:p>
      <w:pPr>
        <w:spacing w:after="260"/>
        <w:jc w:val="center"/>
      </w:pPr>
      <w:r>
        <w:rPr>
          <w:rFonts w:ascii="Noto Serif CJK SC" w:cs="Noto Serif CJK SC" w:eastAsia="Noto Serif CJK SC" w:hAnsi="Noto Serif CJK SC"/>
          <w:color w:val="A23A2E"/>
          <w:sz w:val="28"/>
          <w:szCs w:val="28"/>
        </w:rPr>
        <w:t xml:space="preserve">《诗经·卫风》</w:t>
      </w:r>
    </w:p>
    <w:p>
      <w:pPr>
        <w:pBdr>
          <w:bottom w:val="single" w:color="B89A61" w:sz="14" w:space="12"/>
        </w:pBdr>
        <w:spacing w:after="260"/>
        <w:jc w:val="center"/>
      </w:pPr>
      <w:r>
        <w:rPr>
          <w:rFonts w:ascii="Noto Sans CJK SC" w:cs="Noto Sans CJK SC" w:eastAsia="Noto Sans CJK SC" w:hAnsi="Noto Sans CJK SC"/>
          <w:b/>
          <w:bCs/>
          <w:color w:val="6C7B51"/>
          <w:sz w:val="24"/>
          <w:szCs w:val="24"/>
        </w:rPr>
        <w:t xml:space="preserve">2个核心课时 + 1个可选拓展课时</w:t>
      </w:r>
    </w:p>
    <w:p>
      <w:pPr>
        <w:spacing w:after="180"/>
        <w:jc w:val="center"/>
      </w:pPr>
      <w:r>
        <w:rPr>
          <w:rFonts w:ascii="Noto Serif CJK SC" w:cs="Noto Serif CJK SC" w:eastAsia="Noto Serif CJK SC" w:hAnsi="Noto Serif CJK SC"/>
          <w:b/>
          <w:bCs/>
          <w:color w:val="2B2118"/>
          <w:sz w:val="30"/>
          <w:szCs w:val="30"/>
        </w:rPr>
        <w:t xml:space="preserve">承诺、关系变化与主体选择如何被诗歌语言看见</w:t>
      </w:r>
    </w:p>
    <w:p>
      <w:pPr>
        <w:spacing w:after="80" w:before="260"/>
        <w:jc w:val="center"/>
      </w:pPr>
      <w:r>
        <w:rPr>
          <w:rFonts w:ascii="Noto Sans CJK SC" w:cs="Noto Sans CJK SC" w:eastAsia="Noto Sans CJK SC" w:hAnsi="Noto Sans CJK SC"/>
          <w:color w:val="6B6259"/>
          <w:sz w:val="20"/>
          <w:szCs w:val="20"/>
        </w:rPr>
        <w:t xml:space="preserve">选择性必修下册 · 第一单元 · 文学阅读与写作</w:t>
      </w:r>
    </w:p>
    <w:p>
      <w:pPr>
        <w:spacing w:after="60"/>
        <w:jc w:val="center"/>
      </w:pPr>
      <w:r>
        <w:rPr>
          <w:rFonts w:ascii="Noto Sans CJK SC" w:cs="Noto Sans CJK SC" w:eastAsia="Noto Sans CJK SC" w:hAnsi="Noto Sans CJK SC"/>
          <w:color w:val="6B6259"/>
          <w:sz w:val="18"/>
          <w:szCs w:val="18"/>
        </w:rPr>
        <w:t xml:space="preserve">教学包版本 0.2 · 2026年8月10日</w:t>
      </w:r>
    </w:p>
    <w:p>
      <w:r>
        <w:br w:type="page"/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“+1”表示可选第三课时，用于落实《氓》与《孔雀东南飞》的单元比较任务，不计入核心90分钟。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一、课题信息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2"/>
        <w:gridCol w:w="10956"/>
      </w:tblGrid>
      <w:tr>
        <w:trPr>
          <w:cantSplit/>
          <w:tblHeader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项目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课题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《氓》——承诺、关系变化与主体选择如何被诗歌语言看见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册次与单元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统编高中语文选择性必修下册，第一单元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课标版本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《普通高中语文课程标准（2017年版2020年修订）》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课程层级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选择性必修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人文主题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诗意的探寻；古人的哀乐悲欢与古典诗歌的当代价值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主任务群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文学阅读与写作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关联任务群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语言积累、梳理与探究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选文类型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以定篇为主，兼具叙事诗阅读样本功能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核心课时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2课时，每课时45分钟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可选拓展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1课时，与《孔雀东南飞》比较</w:t>
            </w:r>
          </w:p>
        </w:tc>
      </w:tr>
      <w:tr>
        <w:trPr>
          <w:cantSplit/>
          <w:tblHeader w:val="false"/>
        </w:trPr>
        <w:tc>
          <w:tcPr>
            <w:tcW w:type="dxa" w:w="432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核心成果</w:t>
            </w:r>
          </w:p>
        </w:tc>
        <w:tc>
          <w:tcPr>
            <w:tcW w:type="dxa" w:w="109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六章叙事证据图、形式—作用证据表、主张—证据卡、180—250字微评论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二、母题与核心问题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2.1 母题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承诺、关系变化与主体选择如何被诗歌语言看见。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2.2 核心问题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《氓》怎样通过叙事次序、反复意象和对照语言，使一个女子对关系的认识与选择逐步显现？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问题要求学生从诗句出发，不将课堂变成现代伦理裁判。不要求学生公开讲述个人关系经历；现实联系以文本证据、公共语言和假设情境展开。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三、教材分析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3.1 单元位置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本单元从《诗经》《楚辞》两大诗歌源头展开，要求学生认识不同体式、节奏韵律、表现手法和艺术风格。《氓》既是《诗经》叙事抒情的经典，也是后续比较《孔雀东南飞》的直接上游。单篇教学应完成深度细读，同时给单元比较留下可复用的“情节—人物—语言—手法”证据框架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3.2 文本特征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六章叙事与抒情交织。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 前两章写相识、约期和迁嫁，第三章以桑叶和斑鸠转入回望中的劝诫，第四、五章压缩婚后劳苦和关系失衡，第六章回收少年情谊与盟誓并作出停止。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第一人称回望。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 “我/尔/子”、动作和直接话语让过去场景复现；叙述者又以当下认识重新组织过去。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反复材料改变意义。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 桑叶荣枯、三次淇水、盟誓与违誓并非装饰，而是结构和心理变化的证据。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形式与判断相互生成。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 “士之耽/女之耽”“女也不爽/士贰其行”等对照，使责任失衡成为可以由语言证明的判断。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解释有边界。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 桑叶、淇水和“淇则有岸”允许合理多解；评价看语境和证据，不要求背诵固定象征公式。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3.3 教材要求边界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教材学习提示要求关注女子心理前后变化、叙事与抒情结合、比兴及相关抒情特征。本课后的明确背诵要求指向《离骚》（节选）第3段；本教案不把《氓》全文背诵宣称为教材规定，而把反复诵读和代表性诗句积累作为达成文本理解的方式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四、学情分析与诊断分支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4.1 明示假设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本教案没有真实班级前测数据，以下仅为高二常态班的设计假设：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学生知道《诗经》是诗歌源头之一，但容易把“赋比兴”停留在术语背诵；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能借注释大致疏通诗意，但“将、说、汤汤、渐、咥、泮”等字音义可能混淆；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容易把六章压成一个现代故事梗概，忽略回望次序和诗歌形式；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讨论人物时可能先贴网络标签，缺少诗句证据和解释边界；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能表达态度，但微评论中“引文—分析—判断”连接不稳定。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4.2 五分钟诊断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读准八字：愆、将、说、汤汤、渐、咥、隰、泮；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解释四词：愆期、说、不爽、二三其德；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从任一章圈出一个动作词；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回答：“要证明人物发生变化，至少需要什么样的证据？”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4.3 调整规则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4"/>
        <w:gridCol w:w="9214"/>
      </w:tblGrid>
      <w:tr>
        <w:trPr>
          <w:cantSplit/>
          <w:tblHeader/>
        </w:trPr>
        <w:tc>
          <w:tcPr>
            <w:tcW w:type="dxa" w:w="606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诊断结果</w:t>
            </w:r>
          </w:p>
        </w:tc>
        <w:tc>
          <w:tcPr>
            <w:tcW w:type="dxa" w:w="921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当堂调整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字音低于6/8</w:t>
            </w:r>
          </w:p>
        </w:tc>
        <w:tc>
          <w:tcPr>
            <w:tcW w:type="dxa" w:w="921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启用学习单字音卡，增加3分钟同伴领读；教师背景讲解压缩3分钟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字义低于3/4</w:t>
            </w:r>
          </w:p>
        </w:tc>
        <w:tc>
          <w:tcPr>
            <w:tcW w:type="dxa" w:w="921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六章拼图附现代汉语事件提示；每组先完成两章再交换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多数学生只写主题、不写动作</w:t>
            </w:r>
          </w:p>
        </w:tc>
        <w:tc>
          <w:tcPr>
            <w:tcW w:type="dxa" w:w="921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提供“谁—做什么—处境怎样”的事件句式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能给诗句但不能解释作用</w:t>
            </w:r>
          </w:p>
        </w:tc>
        <w:tc>
          <w:tcPr>
            <w:tcW w:type="dxa" w:w="921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第二课时使用“原句—位置—对照词—作用”四格支架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已能完成完整证据链</w:t>
            </w:r>
          </w:p>
        </w:tc>
        <w:tc>
          <w:tcPr>
            <w:tcW w:type="dxa" w:w="921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减少提示，追加对“淇则有岸”两种教材注释解释的比较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五、教学目标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8"/>
        <w:gridCol w:w="4854"/>
        <w:gridCol w:w="3317"/>
        <w:gridCol w:w="4019"/>
      </w:tblGrid>
      <w:tr>
        <w:trPr>
          <w:cantSplit/>
          <w:tblHeader/>
        </w:trPr>
        <w:tc>
          <w:tcPr>
            <w:tcW w:type="dxa" w:w="30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目标</w:t>
            </w:r>
          </w:p>
        </w:tc>
        <w:tc>
          <w:tcPr>
            <w:tcW w:type="dxa" w:w="48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预期表现</w:t>
            </w:r>
          </w:p>
        </w:tc>
        <w:tc>
          <w:tcPr>
            <w:tcW w:type="dxa" w:w="33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达成证据</w:t>
            </w:r>
          </w:p>
        </w:tc>
        <w:tc>
          <w:tcPr>
            <w:tcW w:type="dxa" w:w="40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评价标准</w:t>
            </w:r>
          </w:p>
        </w:tc>
      </w:tr>
      <w:tr>
        <w:trPr>
          <w:cantSplit/>
          <w:tblHeader w:val="false"/>
        </w:trPr>
        <w:tc>
          <w:tcPr>
            <w:tcW w:type="dxa" w:w="30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O1 读通并梳理全诗</w:t>
            </w:r>
          </w:p>
        </w:tc>
        <w:tc>
          <w:tcPr>
            <w:tcW w:type="dxa" w:w="48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正确诵读核心诗句，借注释解释关键字词，将六章归入有证据的叙事阶段</w:t>
            </w:r>
          </w:p>
        </w:tc>
        <w:tc>
          <w:tcPr>
            <w:tcW w:type="dxa" w:w="33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诊断、诵读检查、六章叙事证据图</w:t>
            </w:r>
          </w:p>
        </w:tc>
        <w:tc>
          <w:tcPr>
            <w:tcW w:type="dxa" w:w="40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字音关键项≥6/8；六章事件与诗句匹配≥5章</w:t>
            </w:r>
          </w:p>
        </w:tc>
      </w:tr>
      <w:tr>
        <w:trPr>
          <w:cantSplit/>
          <w:tblHeader w:val="false"/>
        </w:trPr>
        <w:tc>
          <w:tcPr>
            <w:tcW w:type="dxa" w:w="30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O2 分析形式与处境</w:t>
            </w:r>
          </w:p>
        </w:tc>
        <w:tc>
          <w:tcPr>
            <w:tcW w:type="dxa" w:w="48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对读桑叶、淇水、盟誓及对照句，解释形式怎样推进叙事和认识</w:t>
            </w:r>
          </w:p>
        </w:tc>
        <w:tc>
          <w:tcPr>
            <w:tcW w:type="dxa" w:w="33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形式—作用证据表、小组汇报</w:t>
            </w:r>
          </w:p>
        </w:tc>
        <w:tc>
          <w:tcPr>
            <w:tcW w:type="dxa" w:w="40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至少准确分析两组诗句；不能只报手法名称</w:t>
            </w:r>
          </w:p>
        </w:tc>
      </w:tr>
      <w:tr>
        <w:trPr>
          <w:cantSplit/>
          <w:tblHeader w:val="false"/>
        </w:trPr>
        <w:tc>
          <w:tcPr>
            <w:tcW w:type="dxa" w:w="30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O3 形成有边界的判断</w:t>
            </w:r>
          </w:p>
        </w:tc>
        <w:tc>
          <w:tcPr>
            <w:tcW w:type="dxa" w:w="48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区分诗句事实、形式观察和解释判断，以至少两处诗句说明女主人公的变化</w:t>
            </w:r>
          </w:p>
        </w:tc>
        <w:tc>
          <w:tcPr>
            <w:tcW w:type="dxa" w:w="33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主张—证据卡、证据型讨论</w:t>
            </w:r>
          </w:p>
        </w:tc>
        <w:tc>
          <w:tcPr>
            <w:tcW w:type="dxa" w:w="40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结论可由诗句支持；能回应一次“哪句诗支持”</w:t>
            </w:r>
          </w:p>
        </w:tc>
      </w:tr>
      <w:tr>
        <w:trPr>
          <w:cantSplit/>
          <w:tblHeader w:val="false"/>
        </w:trPr>
        <w:tc>
          <w:tcPr>
            <w:tcW w:type="dxa" w:w="30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O4 完成读写迁移</w:t>
            </w:r>
          </w:p>
        </w:tc>
        <w:tc>
          <w:tcPr>
            <w:tcW w:type="dxa" w:w="48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写成180—250字微评论，含主张、两处引文和形式分析，并据反馈修订</w:t>
            </w:r>
          </w:p>
        </w:tc>
        <w:tc>
          <w:tcPr>
            <w:tcW w:type="dxa" w:w="33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微评论、12分量表、修改稿</w:t>
            </w:r>
          </w:p>
        </w:tc>
        <w:tc>
          <w:tcPr>
            <w:tcW w:type="dxa" w:w="40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初稿≥8/12；低于8分完成重写</w:t>
            </w:r>
          </w:p>
        </w:tc>
      </w:tr>
      <w:tr>
        <w:trPr>
          <w:cantSplit/>
          <w:tblHeader w:val="false"/>
        </w:trPr>
        <w:tc>
          <w:tcPr>
            <w:tcW w:type="dxa" w:w="30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O5 完成单元迁移（可选）</w:t>
            </w:r>
          </w:p>
        </w:tc>
        <w:tc>
          <w:tcPr>
            <w:tcW w:type="dxa" w:w="48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从情节、人物、语言风格和表现手法比较《氓》《孔雀东南飞》</w:t>
            </w:r>
          </w:p>
        </w:tc>
        <w:tc>
          <w:tcPr>
            <w:tcW w:type="dxa" w:w="331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比较矩阵或400字比较短评</w:t>
            </w:r>
          </w:p>
        </w:tc>
        <w:tc>
          <w:tcPr>
            <w:tcW w:type="dxa" w:w="40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至少两个相同点、两个差异点，双方均有文本证据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六、教学重点与难点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6.1 重点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用六章叙事证据图梳理事件、语气和心理变化；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对读桑叶、淇水、对照句和盟誓回收，形成“主张—诗句—形式—判断”证据链；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以微评论检验学生是否真正把形式分析转化为解释。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6.2 难点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理解第三章的劝诫并非脱离故事的议论，而是回望结构中的认识转折；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避免把桑叶当作固定象征公式，能够从位置、语境和词语变化解释比兴作用；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对女主人公作有边界的判断，不以现代标签替代文本证据。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七、教学策略与资源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7.1 教学策略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诵读—批注—梳理—讨论—写作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：每一步都留下可观察成果；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先做后示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：学生先完成叙事图或证据卡，教师再展示参考结构；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对读与替换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：比较同一材料在不同章节的变化，尝试删去或替换关键词以感受作用；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证据质询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：同伴只追问三类问题——“哪句诗？”“哪种形式？”“结论是否越界？”；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分层支架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：基础层获得事件提示，提高层获得形式框架，拓展层比较多种解释。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7.2 教师资源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学生教材切分 PDF 和已核验知识卡；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配套 PPTX；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学习单，每人一份；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六章诗句卡，每组一套；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出口条或便签。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7.3 课前准备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学生通读《氓》两遍，圈出不确定读音和一个“前后发生变化”的词语或句子。教师不提前发放完整译文，以便诊断学生借注释自主阅读的能力。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八、目标—任务—证据矩阵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4"/>
        <w:gridCol w:w="3541"/>
        <w:gridCol w:w="3233"/>
        <w:gridCol w:w="3390"/>
        <w:gridCol w:w="3070"/>
      </w:tblGrid>
      <w:tr>
        <w:trPr>
          <w:cantSplit/>
          <w:tblHeader/>
        </w:trPr>
        <w:tc>
          <w:tcPr>
            <w:tcW w:type="dxa" w:w="20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目标</w:t>
            </w:r>
          </w:p>
        </w:tc>
        <w:tc>
          <w:tcPr>
            <w:tcW w:type="dxa" w:w="35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第一课时任务</w:t>
            </w:r>
          </w:p>
        </w:tc>
        <w:tc>
          <w:tcPr>
            <w:tcW w:type="dxa" w:w="32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第二课时任务</w:t>
            </w:r>
          </w:p>
        </w:tc>
        <w:tc>
          <w:tcPr>
            <w:tcW w:type="dxa" w:w="33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可选第三课时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成果归档</w:t>
            </w:r>
          </w:p>
        </w:tc>
      </w:tr>
      <w:tr>
        <w:trPr>
          <w:cantSplit/>
          <w:tblHeader w:val="false"/>
        </w:trPr>
        <w:tc>
          <w:tcPr>
            <w:tcW w:type="dxa" w:w="20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O1</w:t>
            </w:r>
          </w:p>
        </w:tc>
        <w:tc>
          <w:tcPr>
            <w:tcW w:type="dxa" w:w="35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正音、关键字词、六章拼图</w:t>
            </w:r>
          </w:p>
        </w:tc>
        <w:tc>
          <w:tcPr>
            <w:tcW w:type="dxa" w:w="32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诗句检索回顾</w:t>
            </w:r>
          </w:p>
        </w:tc>
        <w:tc>
          <w:tcPr>
            <w:tcW w:type="dxa" w:w="33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双诗情节重组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诊断和叙事证据图</w:t>
            </w:r>
          </w:p>
        </w:tc>
      </w:tr>
      <w:tr>
        <w:trPr>
          <w:cantSplit/>
          <w:tblHeader w:val="false"/>
        </w:trPr>
        <w:tc>
          <w:tcPr>
            <w:tcW w:type="dxa" w:w="20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O2</w:t>
            </w:r>
          </w:p>
        </w:tc>
        <w:tc>
          <w:tcPr>
            <w:tcW w:type="dxa" w:w="35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第一人称、时间与淇水批注</w:t>
            </w:r>
          </w:p>
        </w:tc>
        <w:tc>
          <w:tcPr>
            <w:tcW w:type="dxa" w:w="32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桑叶、对照、盟誓细读</w:t>
            </w:r>
          </w:p>
        </w:tc>
        <w:tc>
          <w:tcPr>
            <w:tcW w:type="dxa" w:w="33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语言风格和表现手法比较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形式—作用表</w:t>
            </w:r>
          </w:p>
        </w:tc>
      </w:tr>
      <w:tr>
        <w:trPr>
          <w:cantSplit/>
          <w:tblHeader w:val="false"/>
        </w:trPr>
        <w:tc>
          <w:tcPr>
            <w:tcW w:type="dxa" w:w="20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O3</w:t>
            </w:r>
          </w:p>
        </w:tc>
        <w:tc>
          <w:tcPr>
            <w:tcW w:type="dxa" w:w="35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第一课时出口条</w:t>
            </w:r>
          </w:p>
        </w:tc>
        <w:tc>
          <w:tcPr>
            <w:tcW w:type="dxa" w:w="32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主张—证据卡与讨论</w:t>
            </w:r>
          </w:p>
        </w:tc>
        <w:tc>
          <w:tcPr>
            <w:tcW w:type="dxa" w:w="33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悲剧成因边界辨析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讨论修订记录</w:t>
            </w:r>
          </w:p>
        </w:tc>
      </w:tr>
      <w:tr>
        <w:trPr>
          <w:cantSplit/>
          <w:tblHeader w:val="false"/>
        </w:trPr>
        <w:tc>
          <w:tcPr>
            <w:tcW w:type="dxa" w:w="20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O4</w:t>
            </w:r>
          </w:p>
        </w:tc>
        <w:tc>
          <w:tcPr>
            <w:tcW w:type="dxa" w:w="35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—</w:t>
            </w:r>
          </w:p>
        </w:tc>
        <w:tc>
          <w:tcPr>
            <w:tcW w:type="dxa" w:w="32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微评论及互评</w:t>
            </w:r>
          </w:p>
        </w:tc>
        <w:tc>
          <w:tcPr>
            <w:tcW w:type="dxa" w:w="33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比较短评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初稿、反馈、修改稿</w:t>
            </w:r>
          </w:p>
        </w:tc>
      </w:tr>
      <w:tr>
        <w:trPr>
          <w:cantSplit/>
          <w:tblHeader w:val="false"/>
        </w:trPr>
        <w:tc>
          <w:tcPr>
            <w:tcW w:type="dxa" w:w="20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O5</w:t>
            </w:r>
          </w:p>
        </w:tc>
        <w:tc>
          <w:tcPr>
            <w:tcW w:type="dxa" w:w="35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—</w:t>
            </w:r>
          </w:p>
        </w:tc>
        <w:tc>
          <w:tcPr>
            <w:tcW w:type="dxa" w:w="32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留出迁移接口</w:t>
            </w:r>
          </w:p>
        </w:tc>
        <w:tc>
          <w:tcPr>
            <w:tcW w:type="dxa" w:w="33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比较矩阵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比较成果（可选）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九、第一课时：让叙事从诗句中显形（45分钟）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9.1 课时目标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达成 O1，并为 O2/O3 建立六章和第一人称回望的证据基础。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9.2 教学过程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7"/>
        <w:gridCol w:w="1083"/>
        <w:gridCol w:w="3070"/>
        <w:gridCol w:w="3070"/>
        <w:gridCol w:w="2867"/>
        <w:gridCol w:w="3021"/>
      </w:tblGrid>
      <w:tr>
        <w:trPr>
          <w:cantSplit/>
          <w:tblHeader/>
        </w:trPr>
        <w:tc>
          <w:tcPr>
            <w:tcW w:type="dxa" w:w="2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环节</w:t>
            </w:r>
          </w:p>
        </w:tc>
        <w:tc>
          <w:tcPr>
            <w:tcW w:type="dxa" w:w="1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时间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教师活动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学生活动</w:t>
            </w:r>
          </w:p>
        </w:tc>
        <w:tc>
          <w:tcPr>
            <w:tcW w:type="dxa" w:w="28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成果与观察点</w:t>
            </w:r>
          </w:p>
        </w:tc>
        <w:tc>
          <w:tcPr>
            <w:tcW w:type="dxa" w:w="302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反馈与设计意图</w:t>
            </w:r>
          </w:p>
        </w:tc>
      </w:tr>
      <w:tr>
        <w:trPr>
          <w:cantSplit/>
          <w:tblHeader w:val="false"/>
        </w:trPr>
        <w:tc>
          <w:tcPr>
            <w:tcW w:type="dxa" w:w="2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1. 诊断入题</w:t>
            </w:r>
          </w:p>
        </w:tc>
        <w:tc>
          <w:tcPr>
            <w:tcW w:type="dxa" w:w="1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5分钟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投影八个字音、四个词义和“人物变化需要什么证据”；说明只用于选择支架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独立作答2分钟，同桌核对2分钟，举卡反馈1分钟</w:t>
            </w:r>
          </w:p>
        </w:tc>
        <w:tc>
          <w:tcPr>
            <w:tcW w:type="dxa" w:w="28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诊断卡；观察字音、借注释能力和证据意识</w:t>
            </w:r>
          </w:p>
        </w:tc>
        <w:tc>
          <w:tcPr>
            <w:tcW w:type="dxa" w:w="302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按4.3选择支架；用真实表现代替笼统学情判断</w:t>
            </w:r>
          </w:p>
        </w:tc>
      </w:tr>
      <w:tr>
        <w:trPr>
          <w:cantSplit/>
          <w:tblHeader w:val="false"/>
        </w:trPr>
        <w:tc>
          <w:tcPr>
            <w:tcW w:type="dxa" w:w="2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2. 诵读与关键字词</w:t>
            </w:r>
          </w:p>
        </w:tc>
        <w:tc>
          <w:tcPr>
            <w:tcW w:type="dxa" w:w="1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10分钟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示范第一章四言基本节奏；只纠正共性字音和妨碍理解的词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自读2分钟；同伴互纠3分钟；分组对读三组变化句3分钟；全班校正2分钟</w:t>
            </w:r>
          </w:p>
        </w:tc>
        <w:tc>
          <w:tcPr>
            <w:tcW w:type="dxa" w:w="28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字音、停顿、重音；能否读出“不见/既见”等对照</w:t>
            </w:r>
          </w:p>
        </w:tc>
        <w:tc>
          <w:tcPr>
            <w:tcW w:type="dxa" w:w="302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先让学生读，教师只处理高价值障碍；诵读服务理解而非表演</w:t>
            </w:r>
          </w:p>
        </w:tc>
      </w:tr>
      <w:tr>
        <w:trPr>
          <w:cantSplit/>
          <w:tblHeader w:val="false"/>
        </w:trPr>
        <w:tc>
          <w:tcPr>
            <w:tcW w:type="dxa" w:w="2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3. 六章叙事拼图</w:t>
            </w:r>
          </w:p>
        </w:tc>
        <w:tc>
          <w:tcPr>
            <w:tcW w:type="dxa" w:w="1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15分钟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发六章诗句卡，要求填“事件—处境/语气—证据”；巡视时只问“依据是哪句”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四人组重组和填写10分钟；交换检查3分钟；代表说明2分钟</w:t>
            </w:r>
          </w:p>
        </w:tc>
        <w:tc>
          <w:tcPr>
            <w:tcW w:type="dxa" w:w="28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六章叙事证据图；事件与诗句是否匹配、第三章是否被看作转折</w:t>
            </w:r>
          </w:p>
        </w:tc>
        <w:tc>
          <w:tcPr>
            <w:tcW w:type="dxa" w:w="302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先展示学生结构，再用参考结构纠正；避免教师直接讲故事梗概</w:t>
            </w:r>
          </w:p>
        </w:tc>
      </w:tr>
      <w:tr>
        <w:trPr>
          <w:cantSplit/>
          <w:tblHeader w:val="false"/>
        </w:trPr>
        <w:tc>
          <w:tcPr>
            <w:tcW w:type="dxa" w:w="2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4. 谁在回望：人称、时间与淇水</w:t>
            </w:r>
          </w:p>
        </w:tc>
        <w:tc>
          <w:tcPr>
            <w:tcW w:type="dxa" w:w="1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10分钟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提问：“谁在什么时候回看？哪些词让过去重新出现？”标出三处“淇”但不先解释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圈“我/尔/子”、秋/三岁/总角；比较三处淇水语境；写一句发现</w:t>
            </w:r>
          </w:p>
        </w:tc>
        <w:tc>
          <w:tcPr>
            <w:tcW w:type="dxa" w:w="28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批注；能否说明同一空间材料在叙事中改变作用</w:t>
            </w:r>
          </w:p>
        </w:tc>
        <w:tc>
          <w:tcPr>
            <w:tcW w:type="dxa" w:w="302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对低支架组给句式：“第__章的‘淇’用于__，第__章则__”</w:t>
            </w:r>
          </w:p>
        </w:tc>
      </w:tr>
      <w:tr>
        <w:trPr>
          <w:cantSplit/>
          <w:tblHeader w:val="false"/>
        </w:trPr>
        <w:tc>
          <w:tcPr>
            <w:tcW w:type="dxa" w:w="2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5. 出口条</w:t>
            </w:r>
          </w:p>
        </w:tc>
        <w:tc>
          <w:tcPr>
            <w:tcW w:type="dxa" w:w="1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5分钟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给句式：“女主人公对这段关系的认识，从__转向__；我依据的诗句是__。”</w:t>
            </w:r>
          </w:p>
        </w:tc>
        <w:tc>
          <w:tcPr>
            <w:tcW w:type="dxa" w:w="307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独立写80—100字并提交</w:t>
            </w:r>
          </w:p>
        </w:tc>
        <w:tc>
          <w:tcPr>
            <w:tcW w:type="dxa" w:w="28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是否有明确变化和具体诗句</w:t>
            </w:r>
          </w:p>
        </w:tc>
        <w:tc>
          <w:tcPr>
            <w:tcW w:type="dxa" w:w="302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按证据完整度分A/B/C；决定第二课时是否增加叙事回顾</w:t>
            </w: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学生语言实践估算：33分钟。教师说明、示范和整合约12分钟。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9.3 关键追问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如果把前两章只概括成“恋爱甜蜜”，会漏掉哪些动作或条件？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第三章为什么不继续讲事件，而突然出现桑叶和斑鸠？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“三岁”在第四、五章反复出现，产生了怎样的时间感？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第六章为什么重新写“总角”“信誓”？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9.4 参考整合（学生完成后使用）</w:t>
      </w:r>
    </w:p>
    <w:p>
      <w:pPr>
        <w:pBdr>
          <w:top w:val="single" w:color="CFC2AF" w:sz="3"/>
        </w:pBd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一—二：相识、约期、等待与迁嫁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三：回望中的劝诫，形成结构转折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四—五：婚后贫苦、劳作、变心、暴虐与孤立</w:t>
      </w:r>
    </w:p>
    <w:p>
      <w:pPr>
        <w:shd w:fill="F0ECE4" w:val="clear"/>
        <w:spacing w:after="12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六：回收少年情谊和盟誓，重新判断并停止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该整合是叙事阶段，不改变原作六章结构。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9.5 第一课时板书</w:t>
      </w:r>
    </w:p>
    <w:p>
      <w:pPr>
        <w:pBdr>
          <w:top w:val="single" w:color="CFC2AF" w:sz="3"/>
        </w:pBd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《氓》：谁在回望？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 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一—二        三             四—五             六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相识/迁嫁 → 劝诫转折 → 劳苦/失衡/自悼 → 盟誓回收/停止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   诗句          诗句            诗句             诗句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 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人称：我—子—尔          时间：秋—三岁—总角</w:t>
      </w:r>
    </w:p>
    <w:p>
      <w:pPr>
        <w:shd w:fill="F0ECE4" w:val="clear"/>
        <w:spacing w:after="12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空间：涉淇 → 淇水汤汤 → 淇则有岸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9.6 课后任务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基础：读准七组关键字词，并在全诗中给三处“淇”编号；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提高：从第三至六章选两组前后变化的诗句，写出“变了什么”；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拓展：针对“第三章是故事的中断还是认识的转折”准备一条证据。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十、第二课时：让判断经得起诗句追问（45分钟）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10.1 课时目标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达成 O2、O3、O4，以形式细读和微评论完成教学评一致的闭环。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10.2 教学过程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2"/>
        <w:gridCol w:w="1144"/>
        <w:gridCol w:w="3242"/>
        <w:gridCol w:w="3027"/>
        <w:gridCol w:w="2558"/>
        <w:gridCol w:w="3245"/>
      </w:tblGrid>
      <w:tr>
        <w:trPr>
          <w:cantSplit/>
          <w:tblHeader/>
        </w:trPr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环节</w:t>
            </w:r>
          </w:p>
        </w:tc>
        <w:tc>
          <w:tcPr>
            <w:tcW w:type="dxa" w:w="11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时间</w:t>
            </w:r>
          </w:p>
        </w:tc>
        <w:tc>
          <w:tcPr>
            <w:tcW w:type="dxa" w:w="324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教师活动</w:t>
            </w:r>
          </w:p>
        </w:tc>
        <w:tc>
          <w:tcPr>
            <w:tcW w:type="dxa" w:w="30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学生活动</w:t>
            </w:r>
          </w:p>
        </w:tc>
        <w:tc>
          <w:tcPr>
            <w:tcW w:type="dxa" w:w="255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成果与观察点</w:t>
            </w:r>
          </w:p>
        </w:tc>
        <w:tc>
          <w:tcPr>
            <w:tcW w:type="dxa" w:w="324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反馈与设计意图</w:t>
            </w:r>
          </w:p>
        </w:tc>
      </w:tr>
      <w:tr>
        <w:trPr>
          <w:cantSplit/>
          <w:tblHeader w:val="false"/>
        </w:trPr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1. 诗句检索回顾</w:t>
            </w:r>
          </w:p>
        </w:tc>
        <w:tc>
          <w:tcPr>
            <w:tcW w:type="dxa" w:w="11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5分钟</w:t>
            </w:r>
          </w:p>
        </w:tc>
        <w:tc>
          <w:tcPr>
            <w:tcW w:type="dxa" w:w="324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依次呈现“沃若、黄而陨、不爽、贰、旦旦、反”六个词</w:t>
            </w:r>
          </w:p>
        </w:tc>
        <w:tc>
          <w:tcPr>
            <w:tcW w:type="dxa" w:w="30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两人合作在原文定位并口头恢复叙事位置</w:t>
            </w:r>
          </w:p>
        </w:tc>
        <w:tc>
          <w:tcPr>
            <w:tcW w:type="dxa" w:w="255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快速检索卡；能否把词放回章节</w:t>
            </w:r>
          </w:p>
        </w:tc>
        <w:tc>
          <w:tcPr>
            <w:tcW w:type="dxa" w:w="324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若正确率低于70%，用2分钟恢复六章图；从后续总结压缩2分钟</w:t>
            </w:r>
          </w:p>
        </w:tc>
      </w:tr>
      <w:tr>
        <w:trPr>
          <w:cantSplit/>
          <w:tblHeader w:val="false"/>
        </w:trPr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2. 桑叶比兴细读</w:t>
            </w:r>
          </w:p>
        </w:tc>
        <w:tc>
          <w:tcPr>
            <w:tcW w:type="dxa" w:w="11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12分钟</w:t>
            </w:r>
          </w:p>
        </w:tc>
        <w:tc>
          <w:tcPr>
            <w:tcW w:type="dxa" w:w="324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组织对读，追问位置、词语、色彩、叙事作用；用替换问题：“若只保留其中一句会怎样？”</w:t>
            </w:r>
          </w:p>
        </w:tc>
        <w:tc>
          <w:tcPr>
            <w:tcW w:type="dxa" w:w="30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独立批注3分钟；小组完成四格表5分钟；汇报和质询4分钟</w:t>
            </w:r>
          </w:p>
        </w:tc>
        <w:tc>
          <w:tcPr>
            <w:tcW w:type="dxa" w:w="255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形式—作用证据表；是否说明“怎样起作用”</w:t>
            </w:r>
          </w:p>
        </w:tc>
        <w:tc>
          <w:tcPr>
            <w:tcW w:type="dxa" w:w="324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接受有证据的多解；纠正把比兴写成固定等号的答案</w:t>
            </w:r>
          </w:p>
        </w:tc>
      </w:tr>
      <w:tr>
        <w:trPr>
          <w:cantSplit/>
          <w:tblHeader w:val="false"/>
        </w:trPr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3. 对照、反复与盟誓回收</w:t>
            </w:r>
          </w:p>
        </w:tc>
        <w:tc>
          <w:tcPr>
            <w:tcW w:type="dxa" w:w="11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10分钟</w:t>
            </w:r>
          </w:p>
        </w:tc>
        <w:tc>
          <w:tcPr>
            <w:tcW w:type="dxa" w:w="324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发三条待修订判断，要求用相邻诗句校正：①女子一直没有变化；②结尾突然决绝；③全诗只是在劝女子不要沉溺</w:t>
            </w:r>
          </w:p>
        </w:tc>
        <w:tc>
          <w:tcPr>
            <w:tcW w:type="dxa" w:w="30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任选一条，完成“原判断—诗句—形式—修订判断”并交换检查</w:t>
            </w:r>
          </w:p>
        </w:tc>
        <w:tc>
          <w:tcPr>
            <w:tcW w:type="dxa" w:w="255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主张—证据卡；能否用两处诗句建立变化链</w:t>
            </w:r>
          </w:p>
        </w:tc>
        <w:tc>
          <w:tcPr>
            <w:tcW w:type="dxa" w:w="324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反馈只问：证据准确吗？形式说清了吗？结论越界吗？</w:t>
            </w:r>
          </w:p>
        </w:tc>
      </w:tr>
      <w:tr>
        <w:trPr>
          <w:cantSplit/>
          <w:tblHeader w:val="false"/>
        </w:trPr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4. 证据型讨论</w:t>
            </w:r>
          </w:p>
        </w:tc>
        <w:tc>
          <w:tcPr>
            <w:tcW w:type="dxa" w:w="11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8分钟</w:t>
            </w:r>
          </w:p>
        </w:tc>
        <w:tc>
          <w:tcPr>
            <w:tcW w:type="dxa" w:w="324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提出核心问题；指定每组发言60秒、质询30秒</w:t>
            </w:r>
          </w:p>
        </w:tc>
        <w:tc>
          <w:tcPr>
            <w:tcW w:type="dxa" w:w="30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小组整理2分钟；两组发言、两组质询；全班修订一句共识</w:t>
            </w:r>
          </w:p>
        </w:tc>
        <w:tc>
          <w:tcPr>
            <w:tcW w:type="dxa" w:w="255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发言记录；是否回应问题并引用诗句</w:t>
            </w:r>
          </w:p>
        </w:tc>
        <w:tc>
          <w:tcPr>
            <w:tcW w:type="dxa" w:w="324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不评“立场正确”，只评证据、逻辑与边界；允许保留分歧</w:t>
            </w:r>
          </w:p>
        </w:tc>
      </w:tr>
      <w:tr>
        <w:trPr>
          <w:cantSplit/>
          <w:tblHeader w:val="false"/>
        </w:trPr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5. 微评论写作与互评</w:t>
            </w:r>
          </w:p>
        </w:tc>
        <w:tc>
          <w:tcPr>
            <w:tcW w:type="dxa" w:w="11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8分钟</w:t>
            </w:r>
          </w:p>
        </w:tc>
        <w:tc>
          <w:tcPr>
            <w:tcW w:type="dxa" w:w="324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提供二选一题目和12分量表；提醒180—250字、两处引文、一项形式分析</w:t>
            </w:r>
          </w:p>
        </w:tc>
        <w:tc>
          <w:tcPr>
            <w:tcW w:type="dxa" w:w="30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独立写6分钟；同伴按量表指出一处优点和一步修改2分钟</w:t>
            </w:r>
          </w:p>
        </w:tc>
        <w:tc>
          <w:tcPr>
            <w:tcW w:type="dxa" w:w="255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微评论初稿及反馈</w:t>
            </w:r>
          </w:p>
        </w:tc>
        <w:tc>
          <w:tcPr>
            <w:tcW w:type="dxa" w:w="324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低于8分重写；8—10分局部修订；11—12分可作示例但仍需核引文</w:t>
            </w:r>
          </w:p>
        </w:tc>
      </w:tr>
      <w:tr>
        <w:trPr>
          <w:cantSplit/>
          <w:tblHeader w:val="false"/>
        </w:trPr>
        <w:tc>
          <w:tcPr>
            <w:tcW w:type="dxa" w:w="206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6. 结课反思</w:t>
            </w:r>
          </w:p>
        </w:tc>
        <w:tc>
          <w:tcPr>
            <w:tcW w:type="dxa" w:w="114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2分钟</w:t>
            </w:r>
          </w:p>
        </w:tc>
        <w:tc>
          <w:tcPr>
            <w:tcW w:type="dxa" w:w="324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要求写“我最有把握的一条解释/仍需核验的一条解释”</w:t>
            </w:r>
          </w:p>
        </w:tc>
        <w:tc>
          <w:tcPr>
            <w:tcW w:type="dxa" w:w="30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独立提交一强一疑</w:t>
            </w:r>
          </w:p>
        </w:tc>
        <w:tc>
          <w:tcPr>
            <w:tcW w:type="dxa" w:w="255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反思条</w:t>
            </w:r>
          </w:p>
        </w:tc>
        <w:tc>
          <w:tcPr>
            <w:tcW w:type="dxa" w:w="324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防止把课堂共识误作唯一答案，给后续教学留下调整依据</w:t>
            </w: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学生语言实践估算：32分钟。两课时合计65分钟，占核心90分钟的72.2%。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10.3 桑叶四格支架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3"/>
        <w:gridCol w:w="2326"/>
        <w:gridCol w:w="3751"/>
        <w:gridCol w:w="5308"/>
      </w:tblGrid>
      <w:tr>
        <w:trPr>
          <w:cantSplit/>
          <w:tblHeader/>
        </w:trPr>
        <w:tc>
          <w:tcPr>
            <w:tcW w:type="dxa" w:w="389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原句与位置</w:t>
            </w:r>
          </w:p>
        </w:tc>
        <w:tc>
          <w:tcPr>
            <w:tcW w:type="dxa" w:w="232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关键词变化</w:t>
            </w:r>
          </w:p>
        </w:tc>
        <w:tc>
          <w:tcPr>
            <w:tcW w:type="dxa" w:w="37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对叙事的作用</w:t>
            </w:r>
          </w:p>
        </w:tc>
        <w:tc>
          <w:tcPr>
            <w:tcW w:type="dxa" w:w="53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可以支持的解释及边界</w:t>
            </w:r>
          </w:p>
        </w:tc>
      </w:tr>
      <w:tr>
        <w:trPr>
          <w:cantSplit/>
          <w:tblHeader w:val="false"/>
        </w:trPr>
        <w:tc>
          <w:tcPr>
            <w:tcW w:type="dxa" w:w="389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第三章“桑之未落，其叶沃若”</w:t>
            </w:r>
          </w:p>
        </w:tc>
        <w:tc>
          <w:tcPr>
            <w:tcW w:type="dxa" w:w="232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未落、沃若</w:t>
            </w:r>
          </w:p>
        </w:tc>
        <w:tc>
          <w:tcPr>
            <w:tcW w:type="dxa" w:w="37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暂停事件叙述，引出劝诫</w:t>
            </w:r>
          </w:p>
        </w:tc>
        <w:tc>
          <w:tcPr>
            <w:tcW w:type="dxa" w:w="53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可联想生命和关系的鲜润状态；不规定唯一象征义</w:t>
            </w:r>
          </w:p>
        </w:tc>
      </w:tr>
      <w:tr>
        <w:trPr>
          <w:cantSplit/>
          <w:tblHeader w:val="false"/>
        </w:trPr>
        <w:tc>
          <w:tcPr>
            <w:tcW w:type="dxa" w:w="389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第四章“桑之落矣，其黄而陨”</w:t>
            </w:r>
          </w:p>
        </w:tc>
        <w:tc>
          <w:tcPr>
            <w:tcW w:type="dxa" w:w="232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落、黄、陨</w:t>
            </w:r>
          </w:p>
        </w:tc>
        <w:tc>
          <w:tcPr>
            <w:tcW w:type="dxa" w:w="375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重新进入婚后回顾，形成转折</w:t>
            </w:r>
          </w:p>
        </w:tc>
        <w:tc>
          <w:tcPr>
            <w:tcW w:type="dxa" w:w="53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可联系关系衰变和处境变化；须结合后文“不爽/贰其行”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10.4 待修订判断的参考方向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3"/>
        <w:gridCol w:w="4936"/>
        <w:gridCol w:w="6419"/>
      </w:tblGrid>
      <w:tr>
        <w:trPr>
          <w:cantSplit/>
          <w:tblHeader/>
        </w:trPr>
        <w:tc>
          <w:tcPr>
            <w:tcW w:type="dxa" w:w="392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待修订判断</w:t>
            </w:r>
          </w:p>
        </w:tc>
        <w:tc>
          <w:tcPr>
            <w:tcW w:type="dxa" w:w="493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可调用证据</w:t>
            </w:r>
          </w:p>
        </w:tc>
        <w:tc>
          <w:tcPr>
            <w:tcW w:type="dxa" w:w="64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参考修订方向</w:t>
            </w:r>
          </w:p>
        </w:tc>
      </w:tr>
      <w:tr>
        <w:trPr>
          <w:cantSplit/>
          <w:tblHeader w:val="false"/>
        </w:trPr>
        <w:tc>
          <w:tcPr>
            <w:tcW w:type="dxa" w:w="392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女子一直没有变化</w:t>
            </w:r>
          </w:p>
        </w:tc>
        <w:tc>
          <w:tcPr>
            <w:tcW w:type="dxa" w:w="493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泣/笑；自悼；不思其反/亦已焉哉</w:t>
            </w:r>
          </w:p>
        </w:tc>
        <w:tc>
          <w:tcPr>
            <w:tcW w:type="dxa" w:w="64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她的情感和认识经历期待、投入、受挫、自省到停止的变化</w:t>
            </w:r>
          </w:p>
        </w:tc>
      </w:tr>
      <w:tr>
        <w:trPr>
          <w:cantSplit/>
          <w:tblHeader w:val="false"/>
        </w:trPr>
        <w:tc>
          <w:tcPr>
            <w:tcW w:type="dxa" w:w="392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结尾突然决绝</w:t>
            </w:r>
          </w:p>
        </w:tc>
        <w:tc>
          <w:tcPr>
            <w:tcW w:type="dxa" w:w="493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总角、信誓、反、不思、亦已</w:t>
            </w:r>
          </w:p>
        </w:tc>
        <w:tc>
          <w:tcPr>
            <w:tcW w:type="dxa" w:w="64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结尾先回收过去证据，再形成停止；不是无前因的转折</w:t>
            </w:r>
          </w:p>
        </w:tc>
      </w:tr>
      <w:tr>
        <w:trPr>
          <w:cantSplit/>
          <w:tblHeader w:val="false"/>
        </w:trPr>
        <w:tc>
          <w:tcPr>
            <w:tcW w:type="dxa" w:w="392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全诗只是在劝女子不要沉溺</w:t>
            </w:r>
          </w:p>
        </w:tc>
        <w:tc>
          <w:tcPr>
            <w:tcW w:type="dxa" w:w="493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第四、五章劳苦、暴虐和失衡；第六章盟誓</w:t>
            </w:r>
          </w:p>
        </w:tc>
        <w:tc>
          <w:tcPr>
            <w:tcW w:type="dxa" w:w="64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第三章的劝诫是回望的一部分，全诗还通过具体叙事呈现关系责任和主体认识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10.5 微评论任务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二选一：</w:t>
      </w:r>
    </w:p>
    <w:p>
      <w:pPr>
        <w:pStyle w:val="ListParagraph"/>
        <w:numPr>
          <w:ilvl w:val="0"/>
          <w:numId w:val="6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“《氓》的结尾是突然决绝，还是逐步形成的认识？”</w:t>
      </w:r>
    </w:p>
    <w:p>
      <w:pPr>
        <w:pStyle w:val="ListParagraph"/>
        <w:numPr>
          <w:ilvl w:val="0"/>
          <w:numId w:val="6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“桑叶的两次出现怎样改变了全诗的叙事与抒情？”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要求：180—250字；一个明确且有边界的主张；至少两处准确诗句；至少分析一种形式；结尾指出这一形式如何改变你的理解。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10.6 12分评价量表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7"/>
        <w:gridCol w:w="3797"/>
        <w:gridCol w:w="3373"/>
        <w:gridCol w:w="3141"/>
        <w:gridCol w:w="3020"/>
      </w:tblGrid>
      <w:tr>
        <w:trPr>
          <w:cantSplit/>
          <w:tblHeader/>
        </w:trPr>
        <w:tc>
          <w:tcPr>
            <w:tcW w:type="dxa" w:w="1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指标</w:t>
            </w:r>
          </w:p>
        </w:tc>
        <w:tc>
          <w:tcPr>
            <w:tcW w:type="dxa" w:w="3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4分</w:t>
            </w:r>
          </w:p>
        </w:tc>
        <w:tc>
          <w:tcPr>
            <w:tcW w:type="dxa" w:w="33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3分</w:t>
            </w:r>
          </w:p>
        </w:tc>
        <w:tc>
          <w:tcPr>
            <w:tcW w:type="dxa" w:w="31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2分</w:t>
            </w:r>
          </w:p>
        </w:tc>
        <w:tc>
          <w:tcPr>
            <w:tcW w:type="dxa" w:w="302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1分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主张与边界</w:t>
            </w:r>
          </w:p>
        </w:tc>
        <w:tc>
          <w:tcPr>
            <w:tcW w:type="dxa" w:w="3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判断明确，范围是文本能支持的</w:t>
            </w:r>
          </w:p>
        </w:tc>
        <w:tc>
          <w:tcPr>
            <w:tcW w:type="dxa" w:w="33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判断明确，边界基本合理</w:t>
            </w:r>
          </w:p>
        </w:tc>
        <w:tc>
          <w:tcPr>
            <w:tcW w:type="dxa" w:w="31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判断宽泛或局部越界</w:t>
            </w:r>
          </w:p>
        </w:tc>
        <w:tc>
          <w:tcPr>
            <w:tcW w:type="dxa" w:w="302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只有态度，没有可核验主张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诗句证据</w:t>
            </w:r>
          </w:p>
        </w:tc>
        <w:tc>
          <w:tcPr>
            <w:tcW w:type="dxa" w:w="3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两处以上准确引文，均直接支持主张</w:t>
            </w:r>
          </w:p>
        </w:tc>
        <w:tc>
          <w:tcPr>
            <w:tcW w:type="dxa" w:w="33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两处引文基本准确，一处联系偏弱</w:t>
            </w:r>
          </w:p>
        </w:tc>
        <w:tc>
          <w:tcPr>
            <w:tcW w:type="dxa" w:w="31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只有一处有效证据或引文有误</w:t>
            </w:r>
          </w:p>
        </w:tc>
        <w:tc>
          <w:tcPr>
            <w:tcW w:type="dxa" w:w="302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无有效诗句证据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形式分析</w:t>
            </w:r>
          </w:p>
        </w:tc>
        <w:tc>
          <w:tcPr>
            <w:tcW w:type="dxa" w:w="3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说明叙事、比兴、对照或反复怎样产生意义</w:t>
            </w:r>
          </w:p>
        </w:tc>
        <w:tc>
          <w:tcPr>
            <w:tcW w:type="dxa" w:w="33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识别形式并说明一般作用</w:t>
            </w:r>
          </w:p>
        </w:tc>
        <w:tc>
          <w:tcPr>
            <w:tcW w:type="dxa" w:w="31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只贴手法标签</w:t>
            </w:r>
          </w:p>
        </w:tc>
        <w:tc>
          <w:tcPr>
            <w:tcW w:type="dxa" w:w="302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未分析语言形式</w:t>
            </w: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同伴反馈句式：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“你最有效的证据是______，因为它直接说明______。”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“下一步请在______之后补出形式作用/缩小结论范围。”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10.7 教师示例（学生完成后再提供）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《氓》的结尾并非突然决绝，而是回望之后形成的认识。第五章“静言思之，躬自悼矣”先让叙述由外部劳作转入自我反思；第六章又以“信誓旦旦，不思其反”把过去的盟誓与今日的违背并置。“反是不思，亦已焉哉”中的“反”回扣违誓，“焉、哉”连用强化停止的语气。诗歌通过回收旧日证据，使结尾既保留情感的重量，也呈现判断的完成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此示例用于展示结构，不是唯一答案。学生若选择桑叶、淇水、对照等其他证据并能自洽，也可达成目标。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10.8 第二课时板书</w:t>
      </w:r>
    </w:p>
    <w:p>
      <w:pPr>
        <w:pBdr>
          <w:top w:val="single" w:color="CFC2AF" w:sz="3"/>
        </w:pBd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《氓》：判断怎样经得起诗句追问？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 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诗句             形式              处境/变化             判断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沃若 / 黄而陨 → 比兴、对照 → 叙事由期待转入失衡 → 解释有边界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不爽 / 贰其行 → 对照       → 责任判断有语言依据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旦旦 / 反 / 已 → 回收、回环 → 回望后形成停止</w:t>
      </w:r>
    </w:p>
    <w:p>
      <w:pPr>
        <w:shd w:fill="F0ECE4" w:val="clear"/>
        <w:spacing w:after="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 </w:t>
      </w:r>
    </w:p>
    <w:p>
      <w:pPr>
        <w:shd w:fill="F0ECE4" w:val="clear"/>
        <w:spacing w:after="120" w:before="0" w:line="270"/>
        <w:ind w:left="240" w:right="240"/>
      </w:pPr>
      <w:r>
        <w:rPr>
          <w:rFonts w:ascii="Noto Sans Mono CJK SC" w:cs="Noto Sans Mono CJK SC" w:eastAsia="Noto Sans Mono CJK SC" w:hAnsi="Noto Sans Mono CJK SC"/>
          <w:color w:val="2B2118"/>
          <w:sz w:val="16"/>
          <w:szCs w:val="16"/>
        </w:rPr>
        <w:t xml:space="preserve">主张—诗句—形式—判断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10.9 课后任务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基础：校正微评论中的诗句引文和标点；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提高：依据同伴反馈修订为250—350字，标出自己修改的一句；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拓展：阅读《孔雀东南飞》学习提示，为可选第三课时各准备一条“相同”和“不同”的证据。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十一、可选第三课时：《氓》与《孔雀东南飞》比较（45分钟）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本课时落实教材U01单元任务二，可根据学校进度独立使用；没有实施时不得写入核心课完成记录。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11.1 课时目标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达成 O5：从情节、人物、语言风格和表现手法比较两首叙事诗，特别保留悲剧成因差异。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11.2 教学过程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5"/>
        <w:gridCol w:w="2083"/>
        <w:gridCol w:w="4166"/>
        <w:gridCol w:w="5904"/>
      </w:tblGrid>
      <w:tr>
        <w:trPr>
          <w:cantSplit/>
          <w:tblHeader/>
        </w:trPr>
        <w:tc>
          <w:tcPr>
            <w:tcW w:type="dxa" w:w="312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环节</w:t>
            </w:r>
          </w:p>
        </w:tc>
        <w:tc>
          <w:tcPr>
            <w:tcW w:type="dxa" w:w="2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时间</w:t>
            </w:r>
          </w:p>
        </w:tc>
        <w:tc>
          <w:tcPr>
            <w:tcW w:type="dxa" w:w="416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学习活动</w:t>
            </w:r>
          </w:p>
        </w:tc>
        <w:tc>
          <w:tcPr>
            <w:tcW w:type="dxa" w:w="590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成果与反馈</w:t>
            </w:r>
          </w:p>
        </w:tc>
      </w:tr>
      <w:tr>
        <w:trPr>
          <w:cantSplit/>
          <w:tblHeader w:val="false"/>
        </w:trPr>
        <w:tc>
          <w:tcPr>
            <w:tcW w:type="dxa" w:w="312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双诗检索</w:t>
            </w:r>
          </w:p>
        </w:tc>
        <w:tc>
          <w:tcPr>
            <w:tcW w:type="dxa" w:w="2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5分钟</w:t>
            </w:r>
          </w:p>
        </w:tc>
        <w:tc>
          <w:tcPr>
            <w:tcW w:type="dxa" w:w="416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各用三组动词恢复情节</w:t>
            </w:r>
          </w:p>
        </w:tc>
        <w:tc>
          <w:tcPr>
            <w:tcW w:type="dxa" w:w="590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纠正只写主题、不写事件</w:t>
            </w:r>
          </w:p>
        </w:tc>
      </w:tr>
      <w:tr>
        <w:trPr>
          <w:cantSplit/>
          <w:tblHeader w:val="false"/>
        </w:trPr>
        <w:tc>
          <w:tcPr>
            <w:tcW w:type="dxa" w:w="312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情节与原因</w:t>
            </w:r>
          </w:p>
        </w:tc>
        <w:tc>
          <w:tcPr>
            <w:tcW w:type="dxa" w:w="2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10分钟</w:t>
            </w:r>
          </w:p>
        </w:tc>
        <w:tc>
          <w:tcPr>
            <w:tcW w:type="dxa" w:w="416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填“转折点—施动者—结果—证据”</w:t>
            </w:r>
          </w:p>
        </w:tc>
        <w:tc>
          <w:tcPr>
            <w:tcW w:type="dxa" w:w="590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明确《氓》重男子变心和关系失衡，《孔雀东南飞》重家族逼迫与礼教冲突；不混因</w:t>
            </w:r>
          </w:p>
        </w:tc>
      </w:tr>
      <w:tr>
        <w:trPr>
          <w:cantSplit/>
          <w:tblHeader w:val="false"/>
        </w:trPr>
        <w:tc>
          <w:tcPr>
            <w:tcW w:type="dxa" w:w="312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人物与语言</w:t>
            </w:r>
          </w:p>
        </w:tc>
        <w:tc>
          <w:tcPr>
            <w:tcW w:type="dxa" w:w="2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12分钟</w:t>
            </w:r>
          </w:p>
        </w:tc>
        <w:tc>
          <w:tcPr>
            <w:tcW w:type="dxa" w:w="416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比较第一人称回望与多轮人物对话</w:t>
            </w:r>
          </w:p>
        </w:tc>
        <w:tc>
          <w:tcPr>
            <w:tcW w:type="dxa" w:w="590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双方各至少两处诗句</w:t>
            </w:r>
          </w:p>
        </w:tc>
      </w:tr>
      <w:tr>
        <w:trPr>
          <w:cantSplit/>
          <w:tblHeader w:val="false"/>
        </w:trPr>
        <w:tc>
          <w:tcPr>
            <w:tcW w:type="dxa" w:w="312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表现手法与民歌特征</w:t>
            </w:r>
          </w:p>
        </w:tc>
        <w:tc>
          <w:tcPr>
            <w:tcW w:type="dxa" w:w="2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10分钟</w:t>
            </w:r>
          </w:p>
        </w:tc>
        <w:tc>
          <w:tcPr>
            <w:tcW w:type="dxa" w:w="416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比较比兴、铺陈、反复和对话推动</w:t>
            </w:r>
          </w:p>
        </w:tc>
        <w:tc>
          <w:tcPr>
            <w:tcW w:type="dxa" w:w="590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说明作用，不只列术语</w:t>
            </w:r>
          </w:p>
        </w:tc>
      </w:tr>
      <w:tr>
        <w:trPr>
          <w:cantSplit/>
          <w:tblHeader w:val="false"/>
        </w:trPr>
        <w:tc>
          <w:tcPr>
            <w:tcW w:type="dxa" w:w="312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比较短评</w:t>
            </w:r>
          </w:p>
        </w:tc>
        <w:tc>
          <w:tcPr>
            <w:tcW w:type="dxa" w:w="2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6分钟</w:t>
            </w:r>
          </w:p>
        </w:tc>
        <w:tc>
          <w:tcPr>
            <w:tcW w:type="dxa" w:w="416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写120字比较段</w:t>
            </w:r>
          </w:p>
        </w:tc>
        <w:tc>
          <w:tcPr>
            <w:tcW w:type="dxa" w:w="590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必须有“相同—不同—意义”结构</w:t>
            </w:r>
          </w:p>
        </w:tc>
      </w:tr>
      <w:tr>
        <w:trPr>
          <w:cantSplit/>
          <w:tblHeader w:val="false"/>
        </w:trPr>
        <w:tc>
          <w:tcPr>
            <w:tcW w:type="dxa" w:w="312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出口条</w:t>
            </w:r>
          </w:p>
        </w:tc>
        <w:tc>
          <w:tcPr>
            <w:tcW w:type="dxa" w:w="208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2分钟</w:t>
            </w:r>
          </w:p>
        </w:tc>
        <w:tc>
          <w:tcPr>
            <w:tcW w:type="dxa" w:w="416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写出最需避免的一项比较错误</w:t>
            </w:r>
          </w:p>
        </w:tc>
        <w:tc>
          <w:tcPr>
            <w:tcW w:type="dxa" w:w="590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教师据此决定后续鉴赏写作支架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11.3 比较边界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相同：婚姻爱情悲剧、叙事性、民歌特征、人物选择具有强烈情感力量；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不同：《氓》以女子第一人称压缩多年经历，以比兴和对照组织回望；《孔雀东南飞》以较完整故事、多轮对话和铺陈刻画多个人物；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原因不能混写：教材对《孔雀东南飞》的提示明确强调封建礼教和家长制压力，而《氓》的直接文本证据集中于男子失信、变心、暴虐及关系责任失衡。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十二、分层支持与课堂组织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6508"/>
        <w:gridCol w:w="5784"/>
      </w:tblGrid>
      <w:tr>
        <w:trPr>
          <w:cantSplit/>
          <w:tblHeader/>
        </w:trPr>
        <w:tc>
          <w:tcPr>
            <w:tcW w:type="dxa" w:w="298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层级</w:t>
            </w:r>
          </w:p>
        </w:tc>
        <w:tc>
          <w:tcPr>
            <w:tcW w:type="dxa" w:w="65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支架</w:t>
            </w:r>
          </w:p>
        </w:tc>
        <w:tc>
          <w:tcPr>
            <w:tcW w:type="dxa" w:w="578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进阶要求</w:t>
            </w:r>
          </w:p>
        </w:tc>
      </w:tr>
      <w:tr>
        <w:trPr>
          <w:cantSplit/>
          <w:tblHeader w:val="false"/>
        </w:trPr>
        <w:tc>
          <w:tcPr>
            <w:tcW w:type="dxa" w:w="298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基础</w:t>
            </w:r>
          </w:p>
        </w:tc>
        <w:tc>
          <w:tcPr>
            <w:tcW w:type="dxa" w:w="65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字音卡、事件动词、诗句定位、句式框架</w:t>
            </w:r>
          </w:p>
        </w:tc>
        <w:tc>
          <w:tcPr>
            <w:tcW w:type="dxa" w:w="578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先保证引用准确并说清基本事件</w:t>
            </w:r>
          </w:p>
        </w:tc>
      </w:tr>
      <w:tr>
        <w:trPr>
          <w:cantSplit/>
          <w:tblHeader w:val="false"/>
        </w:trPr>
        <w:tc>
          <w:tcPr>
            <w:tcW w:type="dxa" w:w="298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提高</w:t>
            </w:r>
          </w:p>
        </w:tc>
        <w:tc>
          <w:tcPr>
            <w:tcW w:type="dxa" w:w="65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“位置—词语变化—形式—作用”四格表</w:t>
            </w:r>
          </w:p>
        </w:tc>
        <w:tc>
          <w:tcPr>
            <w:tcW w:type="dxa" w:w="578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说明形式如何改变叙事或认识</w:t>
            </w:r>
          </w:p>
        </w:tc>
      </w:tr>
      <w:tr>
        <w:trPr>
          <w:cantSplit/>
          <w:tblHeader w:val="false"/>
        </w:trPr>
        <w:tc>
          <w:tcPr>
            <w:tcW w:type="dxa" w:w="298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拓展</w:t>
            </w:r>
          </w:p>
        </w:tc>
        <w:tc>
          <w:tcPr>
            <w:tcW w:type="dxa" w:w="650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多种注释解释、第一人称限制、跨文本比较</w:t>
            </w:r>
          </w:p>
        </w:tc>
        <w:tc>
          <w:tcPr>
            <w:tcW w:type="dxa" w:w="578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比较不同解释，主动限定判断边界</w:t>
            </w: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小组四人角色可轮换：诵读者、定位者、记录者、质询者。质询者只使用证据问题，避免变成人物道德辩论。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十三、评价与学习档案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13.1 过程性证据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课前诊断：只用于支架分流；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六章叙事证据图：检验O1；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形式—作用表：检验O2；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主张—证据卡和讨论修订：检验O3；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微评论初稿、量表、修改稿：检验O4；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比较矩阵或短评：可选检验O5。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13.2 反馈后的教学调整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8"/>
        <w:gridCol w:w="8140"/>
      </w:tblGrid>
      <w:tr>
        <w:trPr>
          <w:cantSplit/>
          <w:tblHeader/>
        </w:trPr>
        <w:tc>
          <w:tcPr>
            <w:tcW w:type="dxa" w:w="71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观察结果</w:t>
            </w:r>
          </w:p>
        </w:tc>
        <w:tc>
          <w:tcPr>
            <w:tcW w:type="dxa" w:w="81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后续调整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超过30%学生六章匹配不足5章</w:t>
            </w:r>
          </w:p>
        </w:tc>
        <w:tc>
          <w:tcPr>
            <w:tcW w:type="dxa" w:w="81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第二课时增加2分钟叙事检索，减少教师总结2分钟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超过30%学生只写“用了比兴，生动形象”</w:t>
            </w:r>
          </w:p>
        </w:tc>
        <w:tc>
          <w:tcPr>
            <w:tcW w:type="dxa" w:w="81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用一篇匿名片段做“缺少位置和作用”的共同修改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引文错误集中在同一组诗句</w:t>
            </w:r>
          </w:p>
        </w:tc>
        <w:tc>
          <w:tcPr>
            <w:tcW w:type="dxa" w:w="81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下一课开始安排60秒原文核对，不直接口头公布答案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微评论低于8分超过40%</w:t>
            </w:r>
          </w:p>
        </w:tc>
        <w:tc>
          <w:tcPr>
            <w:tcW w:type="dxa" w:w="81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暂不进入比较课；先用教师示例拆解并完成一次重写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多数学生达到11—12分</w:t>
            </w:r>
          </w:p>
        </w:tc>
        <w:tc>
          <w:tcPr>
            <w:tcW w:type="dxa" w:w="814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比较课减少支架，要求处理两首诗不同叙事视角和悲剧成因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13.3 学习档案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保留叙事证据图、微评论初稿、同伴反馈、修改稿四件套。教师可选择匿名优秀样例和典型问题样例，用于后续古诗词鉴赏写作。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十四、课堂实施风险预案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5133"/>
        <w:gridCol w:w="6516"/>
      </w:tblGrid>
      <w:tr>
        <w:trPr>
          <w:cantSplit/>
          <w:tblHeader/>
        </w:trPr>
        <w:tc>
          <w:tcPr>
            <w:tcW w:type="dxa" w:w="36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风险</w:t>
            </w:r>
          </w:p>
        </w:tc>
        <w:tc>
          <w:tcPr>
            <w:tcW w:type="dxa" w:w="51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触发信号</w:t>
            </w:r>
          </w:p>
        </w:tc>
        <w:tc>
          <w:tcPr>
            <w:tcW w:type="dxa" w:w="651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即时处理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字词疏通超时</w:t>
            </w:r>
          </w:p>
        </w:tc>
        <w:tc>
          <w:tcPr>
            <w:tcW w:type="dxa" w:w="51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10分钟后仍停留在逐句翻译</w:t>
            </w:r>
          </w:p>
        </w:tc>
        <w:tc>
          <w:tcPr>
            <w:tcW w:type="dxa" w:w="651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只处理妨碍核心证据的字词，完整注释转入学习单和课后自检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讨论滑向现代标签</w:t>
            </w:r>
          </w:p>
        </w:tc>
        <w:tc>
          <w:tcPr>
            <w:tcW w:type="dxa" w:w="51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发言不引用诗句，只判断人物“好/坏”</w:t>
            </w:r>
          </w:p>
        </w:tc>
        <w:tc>
          <w:tcPr>
            <w:tcW w:type="dxa" w:w="651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要求暂停并补“哪句诗、什么形式”；仍无证据则暂不记录为结论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学生被私人议题触发</w:t>
            </w:r>
          </w:p>
        </w:tc>
        <w:tc>
          <w:tcPr>
            <w:tcW w:type="dxa" w:w="51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明显不适或拒绝个人分享</w:t>
            </w:r>
          </w:p>
        </w:tc>
        <w:tc>
          <w:tcPr>
            <w:tcW w:type="dxa" w:w="651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允许匿名书面表达或使用第三人称；教师不追问个人经历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PPT答案提前出现</w:t>
            </w:r>
          </w:p>
        </w:tc>
        <w:tc>
          <w:tcPr>
            <w:tcW w:type="dxa" w:w="51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学生尚未作答就进入揭示页</w:t>
            </w:r>
          </w:p>
        </w:tc>
        <w:tc>
          <w:tcPr>
            <w:tcW w:type="dxa" w:w="651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退回任务页或按B键黑屏，先完成学习单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写作时间不足</w:t>
            </w:r>
          </w:p>
        </w:tc>
        <w:tc>
          <w:tcPr>
            <w:tcW w:type="dxa" w:w="513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还剩4分钟多数未形成主张</w:t>
            </w:r>
          </w:p>
        </w:tc>
        <w:tc>
          <w:tcPr>
            <w:tcW w:type="dxa" w:w="651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先完成“主张+两处诗句”骨架，形式分析作为课后修订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十五、核心90分钟桌面模拟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7"/>
        <w:gridCol w:w="5043"/>
        <w:gridCol w:w="2797"/>
        <w:gridCol w:w="4641"/>
      </w:tblGrid>
      <w:tr>
        <w:trPr>
          <w:cantSplit/>
          <w:tblHeader/>
        </w:trPr>
        <w:tc>
          <w:tcPr>
            <w:tcW w:type="dxa" w:w="2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课时</w:t>
            </w:r>
          </w:p>
        </w:tc>
        <w:tc>
          <w:tcPr>
            <w:tcW w:type="dxa" w:w="50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环节时间复算</w:t>
            </w:r>
          </w:p>
        </w:tc>
        <w:tc>
          <w:tcPr>
            <w:tcW w:type="dxa" w:w="2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合计</w:t>
            </w:r>
          </w:p>
        </w:tc>
        <w:tc>
          <w:tcPr>
            <w:tcW w:type="dxa" w:w="46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学生语言实践估算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第一课时</w:t>
            </w:r>
          </w:p>
        </w:tc>
        <w:tc>
          <w:tcPr>
            <w:tcW w:type="dxa" w:w="50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5+10+15+10+5</w:t>
            </w:r>
          </w:p>
        </w:tc>
        <w:tc>
          <w:tcPr>
            <w:tcW w:type="dxa" w:w="2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45分钟</w:t>
            </w:r>
          </w:p>
        </w:tc>
        <w:tc>
          <w:tcPr>
            <w:tcW w:type="dxa" w:w="46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33分钟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第二课时</w:t>
            </w:r>
          </w:p>
        </w:tc>
        <w:tc>
          <w:tcPr>
            <w:tcW w:type="dxa" w:w="50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5+12+10+8+8+2</w:t>
            </w:r>
          </w:p>
        </w:tc>
        <w:tc>
          <w:tcPr>
            <w:tcW w:type="dxa" w:w="2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45分钟</w:t>
            </w:r>
          </w:p>
        </w:tc>
        <w:tc>
          <w:tcPr>
            <w:tcW w:type="dxa" w:w="46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32分钟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核心合计</w:t>
            </w:r>
          </w:p>
        </w:tc>
        <w:tc>
          <w:tcPr>
            <w:tcW w:type="dxa" w:w="504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—</w:t>
            </w:r>
          </w:p>
        </w:tc>
        <w:tc>
          <w:tcPr>
            <w:tcW w:type="dxa" w:w="279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90分钟</w:t>
            </w:r>
          </w:p>
        </w:tc>
        <w:tc>
          <w:tcPr>
            <w:tcW w:type="dxa" w:w="464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65分钟（72.2%）</w:t>
            </w: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删减优先级：若现场时间不足，先减少全班汇报组数，其次将教师参考整合移至课后；不得删去学生独立批注、微评论或出口条。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十六、四维校准与硬门自检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3"/>
        <w:gridCol w:w="8006"/>
        <w:gridCol w:w="3269"/>
      </w:tblGrid>
      <w:tr>
        <w:trPr>
          <w:cantSplit/>
          <w:tblHeader/>
        </w:trPr>
        <w:tc>
          <w:tcPr>
            <w:tcW w:type="dxa" w:w="400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校准项</w:t>
            </w:r>
          </w:p>
        </w:tc>
        <w:tc>
          <w:tcPr>
            <w:tcW w:type="dxa" w:w="80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落实证据</w:t>
            </w:r>
          </w:p>
        </w:tc>
        <w:tc>
          <w:tcPr>
            <w:tcW w:type="dxa" w:w="326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设计结论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语言</w:t>
            </w:r>
          </w:p>
        </w:tc>
        <w:tc>
          <w:tcPr>
            <w:tcW w:type="dxa" w:w="80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字词、诵读、对读、形式分析和微评论均以原句为材料</w:t>
            </w:r>
          </w:p>
        </w:tc>
        <w:tc>
          <w:tcPr>
            <w:tcW w:type="dxa" w:w="326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已落实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现实</w:t>
            </w:r>
          </w:p>
        </w:tc>
        <w:tc>
          <w:tcPr>
            <w:tcW w:type="dxa" w:w="80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讨论承诺、变化和选择，但不要求私人披露</w:t>
            </w:r>
          </w:p>
        </w:tc>
        <w:tc>
          <w:tcPr>
            <w:tcW w:type="dxa" w:w="326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已落实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单元</w:t>
            </w:r>
          </w:p>
        </w:tc>
        <w:tc>
          <w:tcPr>
            <w:tcW w:type="dxa" w:w="80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对接诗意探寻、叙事诗比较和鉴赏写作</w:t>
            </w:r>
          </w:p>
        </w:tc>
        <w:tc>
          <w:tcPr>
            <w:tcW w:type="dxa" w:w="326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已落实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阶段</w:t>
            </w:r>
          </w:p>
        </w:tc>
        <w:tc>
          <w:tcPr>
            <w:tcW w:type="dxa" w:w="80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选择性必修要求整合、解释和评论，不机械灌输术语</w:t>
            </w:r>
          </w:p>
        </w:tc>
        <w:tc>
          <w:tcPr>
            <w:tcW w:type="dxa" w:w="326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已落实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真实语言运用</w:t>
            </w:r>
          </w:p>
        </w:tc>
        <w:tc>
          <w:tcPr>
            <w:tcW w:type="dxa" w:w="80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学生完成批注、讨论、质询、微评论和可选比较</w:t>
            </w:r>
          </w:p>
        </w:tc>
        <w:tc>
          <w:tcPr>
            <w:tcW w:type="dxa" w:w="326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已落实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学习证据</w:t>
            </w:r>
          </w:p>
        </w:tc>
        <w:tc>
          <w:tcPr>
            <w:tcW w:type="dxa" w:w="80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每一目标有对应成果和量表</w:t>
            </w:r>
          </w:p>
        </w:tc>
        <w:tc>
          <w:tcPr>
            <w:tcW w:type="dxa" w:w="326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已落实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教学评一致</w:t>
            </w:r>
          </w:p>
        </w:tc>
        <w:tc>
          <w:tcPr>
            <w:tcW w:type="dxa" w:w="80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目标—任务—证据矩阵和调整规则闭环</w:t>
            </w:r>
          </w:p>
        </w:tc>
        <w:tc>
          <w:tcPr>
            <w:tcW w:type="dxa" w:w="326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已落实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十七、课后反思记录框架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真实实施后由教师补写，不在备课阶段伪造：</w:t>
      </w:r>
    </w:p>
    <w:p>
      <w:pPr>
        <w:pStyle w:val="ListParagraph"/>
        <w:numPr>
          <w:ilvl w:val="0"/>
          <w:numId w:val="7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哪一项诊断最准确地预测了学习困难？</w:t>
      </w:r>
    </w:p>
    <w:p>
      <w:pPr>
        <w:pStyle w:val="ListParagraph"/>
        <w:numPr>
          <w:ilvl w:val="0"/>
          <w:numId w:val="7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学生在哪组诗句上形成了超出预设但有证据的解释？</w:t>
      </w:r>
    </w:p>
    <w:p>
      <w:pPr>
        <w:pStyle w:val="ListParagraph"/>
        <w:numPr>
          <w:ilvl w:val="0"/>
          <w:numId w:val="7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哪个环节教师话语过多或时间不足？</w:t>
      </w:r>
    </w:p>
    <w:p>
      <w:pPr>
        <w:pStyle w:val="ListParagraph"/>
        <w:numPr>
          <w:ilvl w:val="0"/>
          <w:numId w:val="7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微评论三个维度的分布怎样？下一课需要哪种支架？</w:t>
      </w:r>
    </w:p>
    <w:p>
      <w:pPr>
        <w:pStyle w:val="ListParagraph"/>
        <w:numPr>
          <w:ilvl w:val="0"/>
          <w:numId w:val="7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是否出现私人议题不适、性别标签或无证历史推测？如何处理？</w:t>
      </w:r>
    </w:p>
    <w:p>
      <w:pPr>
        <w:pStyle w:val="ListParagraph"/>
        <w:numPr>
          <w:ilvl w:val="0"/>
          <w:numId w:val="7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可选比较课是否需要实施；依据是什么？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十八、主要来源</w:t>
      </w:r>
    </w:p>
    <w:p>
      <w:pPr>
        <w:pStyle w:val="ListParagraph"/>
        <w:numPr>
          <w:ilvl w:val="0"/>
          <w:numId w:val="8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统编高中语文选择性必修下册第一单元、《氓》正文注释及学习提示，学生教材切分PDF物理页1—6；</w:t>
      </w:r>
    </w:p>
    <w:p>
      <w:pPr>
        <w:pStyle w:val="ListParagraph"/>
        <w:numPr>
          <w:ilvl w:val="0"/>
          <w:numId w:val="8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同册U01单元研习任务，任务一、二、四；</w:t>
      </w:r>
    </w:p>
    <w:p>
      <w:pPr>
        <w:pStyle w:val="ListParagraph"/>
        <w:numPr>
          <w:ilvl w:val="0"/>
          <w:numId w:val="8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《普通高中语文课程标准（2017年版2020年修订）》“语言积累、梳理与探究”“文学阅读与写作”；</w:t>
      </w:r>
    </w:p>
    <w:p>
      <w:pPr>
        <w:pStyle w:val="ListParagraph"/>
        <w:numPr>
          <w:ilvl w:val="0"/>
          <w:numId w:val="8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CARD-X3-U01-01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 和 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UNIT-X3-U01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 已接受知识卡与单元图谱；</w:t>
      </w:r>
    </w:p>
    <w:p>
      <w:pPr>
        <w:pStyle w:val="ListParagraph"/>
        <w:numPr>
          <w:ilvl w:val="0"/>
          <w:numId w:val="8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本教学包 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01_文本研究与证据档案.md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。</w:t>
      </w:r>
    </w:p>
    <w:sectPr>
      <w:headerReference w:type="default" r:id="rId7"/>
      <w:footerReference w:type="default" r:id="rId8"/>
      <w:pgSz w:w="16838" w:h="11906" w:orient="landscape"/>
      <w:pgMar w:top="760" w:right="780" w:bottom="760" w:left="7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证据驱动教学包　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第 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A61" w:sz="5" w:space="5"/>
      </w:pBdr>
    </w:pPr>
    <w:r>
      <w:rPr>
        <w:rFonts w:ascii="Noto Sans CJK SC" w:cs="Noto Sans CJK SC" w:eastAsia="Noto Sans CJK SC" w:hAnsi="Noto Sans CJK SC"/>
        <w:color w:val="6B6259"/>
        <w:sz w:val="15"/>
        <w:szCs w:val="15"/>
      </w:rPr>
      <w:t xml:space="preserve">《氓》2+1课时教学设计｜选择性必修下册·第一单元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2B2118"/>
        <w:sz w:val="19"/>
        <w:szCs w:val="19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60"/>
      <w:outlineLvl w:val="0"/>
    </w:pPr>
    <w:rPr>
      <w:rFonts w:ascii="Noto Serif CJK SC" w:cs="Noto Serif CJK SC" w:eastAsia="Noto Serif CJK SC" w:hAnsi="Noto Serif CJK SC"/>
      <w:b/>
      <w:bCs/>
      <w:color w:val="2B211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Noto Serif CJK SC" w:cs="Noto Serif CJK SC" w:eastAsia="Noto Serif CJK SC" w:hAnsi="Noto Serif CJK SC"/>
      <w:b/>
      <w:bCs/>
      <w:color w:val="2B211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80"/>
      <w:outlineLvl w:val="2"/>
    </w:pPr>
    <w:rPr>
      <w:rFonts w:ascii="Noto Sans CJK SC" w:cs="Noto Sans CJK SC" w:eastAsia="Noto Sans CJK SC" w:hAnsi="Noto Sans CJK SC"/>
      <w:b/>
      <w:bCs/>
      <w:color w:val="A23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《氓》2+1课时教学设计</dc:title>
  <dc:creator>语文备课系统</dc:creator>
  <dc:description>选择性必修下册第一单元；证据驱动的课堂教学设计</dc:description>
  <cp:lastModifiedBy>Un-named</cp:lastModifiedBy>
  <cp:revision>1</cp:revision>
  <dcterms:created xsi:type="dcterms:W3CDTF">2026-08-10T12:32:46.096Z</dcterms:created>
  <dcterms:modified xsi:type="dcterms:W3CDTF">2026-08-10T12:32:46.096Z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