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J&amp;J PDA simulation</w:t>
      </w:r>
    </w:p>
    <w:p>
      <w:pPr>
        <w:pStyle w:val="Author"/>
      </w:pPr>
      <w:r>
        <w:t xml:space="preserve">Chongliang Luo, PhD (</w:t>
      </w:r>
      <w:hyperlink r:id="rId20">
        <w:r>
          <w:rPr>
            <w:rStyle w:val="Hyperlink"/>
          </w:rPr>
          <w:t xml:space="preserve">chongliang@wustl.edu</w:t>
        </w:r>
      </w:hyperlink>
      <w:r>
        <w:t xml:space="preserve">)</w:t>
      </w:r>
    </w:p>
    <w:p>
      <w:pPr>
        <w:pStyle w:val="Date"/>
      </w:pPr>
      <w:r>
        <w:t xml:space="preserve">2025-11-24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settings of simulating clinical trial data for demonstrating federated learning with the privacy-preserving distributed algorithm (PDA) framework.</w:t>
      </w:r>
      <w:r>
        <w:t xml:space="preserve"> </w:t>
      </w:r>
      <w:r>
        <w:t xml:space="preserve">A brief summary of the data to be simulated is:</w:t>
      </w:r>
    </w:p>
    <w:p>
      <w:pPr>
        <w:pStyle w:val="Compact"/>
        <w:numPr>
          <w:ilvl w:val="0"/>
          <w:numId w:val="1001"/>
        </w:numPr>
      </w:pPr>
      <w:r>
        <w:t xml:space="preserve">Event rate: 0.34 (0.10–0.59)</w:t>
      </w:r>
    </w:p>
    <w:p>
      <w:pPr>
        <w:pStyle w:val="Compact"/>
        <w:numPr>
          <w:ilvl w:val="0"/>
          <w:numId w:val="1001"/>
        </w:numPr>
      </w:pPr>
      <w:r>
        <w:t xml:space="preserve">Median survival time: 34.4 months (13.2–47.5)</w:t>
      </w:r>
    </w:p>
    <w:p>
      <w:pPr>
        <w:pStyle w:val="Compact"/>
        <w:numPr>
          <w:ilvl w:val="0"/>
          <w:numId w:val="1001"/>
        </w:numPr>
      </w:pPr>
      <w:r>
        <w:t xml:space="preserve">Hazard ratio: 0.77 (0.75–0.80)</w:t>
      </w:r>
    </w:p>
    <w:p>
      <w:pPr>
        <w:pStyle w:val="Compact"/>
        <w:numPr>
          <w:ilvl w:val="0"/>
          <w:numId w:val="1001"/>
        </w:numPr>
      </w:pPr>
      <w:r>
        <w:t xml:space="preserve">Sample size: 2500</w:t>
      </w:r>
    </w:p>
    <w:p>
      <w:pPr>
        <w:pStyle w:val="Compact"/>
        <w:numPr>
          <w:ilvl w:val="0"/>
          <w:numId w:val="1001"/>
        </w:numPr>
      </w:pPr>
      <w:r>
        <w:t xml:space="preserve">Number of centers/sites: 10</w:t>
      </w:r>
    </w:p>
    <w:p>
      <w:pPr>
        <w:pStyle w:val="Compact"/>
        <w:numPr>
          <w:ilvl w:val="0"/>
          <w:numId w:val="1001"/>
        </w:numPr>
      </w:pPr>
      <w:r>
        <w:t xml:space="preserve">Covariates: Age, Sex, Race/Ethnicity, Mutation subtype</w:t>
      </w:r>
    </w:p>
    <w:p>
      <w:pPr>
        <w:pStyle w:val="FirstParagraph"/>
      </w:pPr>
      <w:r>
        <w:t xml:space="preserve">The simulated data will match these numbers.</w:t>
      </w:r>
    </w:p>
    <w:bookmarkEnd w:id="21"/>
    <w:bookmarkStart w:id="30" w:name="simulation-settings"/>
    <w:p>
      <w:pPr>
        <w:pStyle w:val="Heading2"/>
      </w:pPr>
      <w:r>
        <w:t xml:space="preserve">Simulation settings</w:t>
      </w:r>
    </w:p>
    <w:bookmarkStart w:id="22" w:name="sites-and-sample-sizes"/>
    <w:p>
      <w:pPr>
        <w:pStyle w:val="Heading3"/>
      </w:pPr>
      <w:r>
        <w:t xml:space="preserve">Sites and sample sizes</w:t>
      </w:r>
    </w:p>
    <w:p>
      <w:pPr>
        <w:pStyle w:val="FirstParagraph"/>
      </w:pPr>
      <w:r>
        <w:t xml:space="preserve">We simulate patients data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sites, with the number of patients from each site as</w:t>
      </w:r>
    </w:p>
    <w:p>
      <w:pPr>
        <w:pStyle w:val="Compact"/>
        <w:numPr>
          <w:ilvl w:val="0"/>
          <w:numId w:val="1002"/>
        </w:numPr>
      </w:pPr>
      <w:r>
        <w:t xml:space="preserve">400*1 (1 large site),</w:t>
      </w:r>
    </w:p>
    <w:p>
      <w:pPr>
        <w:pStyle w:val="Compact"/>
        <w:numPr>
          <w:ilvl w:val="0"/>
          <w:numId w:val="1002"/>
        </w:numPr>
      </w:pPr>
      <w:r>
        <w:t xml:space="preserve">300*6 (6 medium site), and</w:t>
      </w:r>
    </w:p>
    <w:p>
      <w:pPr>
        <w:pStyle w:val="Compact"/>
        <w:numPr>
          <w:ilvl w:val="0"/>
          <w:numId w:val="1002"/>
        </w:numPr>
      </w:pPr>
      <w:r>
        <w:t xml:space="preserve">100*3 (3 small sites).</w:t>
      </w:r>
    </w:p>
    <w:bookmarkEnd w:id="22"/>
    <w:bookmarkStart w:id="23" w:name="treatment-assignment"/>
    <w:p>
      <w:pPr>
        <w:pStyle w:val="Heading3"/>
      </w:pPr>
      <w:r>
        <w:t xml:space="preserve">Treatment assignment</w:t>
      </w:r>
    </w:p>
    <w:p>
      <w:pPr>
        <w:pStyle w:val="FirstParagraph"/>
      </w:pPr>
      <w:r>
        <w:t xml:space="preserve">As in a randomized controlled trial, we assign the same number of patients to the treatment and control arms in the simulation.</w:t>
      </w:r>
      <w:r>
        <w:t xml:space="preserve"> </w:t>
      </w:r>
      <w:r>
        <w:t xml:space="preserve">The treatment index variable is named</w:t>
      </w:r>
      <w:r>
        <w:t xml:space="preserve"> </w:t>
      </w:r>
      <w:r>
        <w:t xml:space="preserve">“Trt”</w:t>
      </w:r>
      <w:r>
        <w:t xml:space="preserve">, with 0/1 represents control/treatment respectively.</w:t>
      </w:r>
    </w:p>
    <w:bookmarkEnd w:id="23"/>
    <w:bookmarkStart w:id="24" w:name="covariates"/>
    <w:p>
      <w:pPr>
        <w:pStyle w:val="Heading3"/>
      </w:pPr>
      <w:r>
        <w:t xml:space="preserve">Covariates</w:t>
      </w:r>
    </w:p>
    <w:p>
      <w:pPr>
        <w:pStyle w:val="FirstParagraph"/>
      </w:pPr>
      <w:r>
        <w:t xml:space="preserve">The covariate variables are randomly generated and independent with the treatment assignment and other covariates. Specifically,</w:t>
      </w:r>
    </w:p>
    <w:p>
      <w:pPr>
        <w:pStyle w:val="Compact"/>
        <w:numPr>
          <w:ilvl w:val="0"/>
          <w:numId w:val="1003"/>
        </w:numPr>
      </w:pPr>
      <w:r>
        <w:t xml:space="preserve">age (</w:t>
      </w:r>
      <w:r>
        <w:t xml:space="preserve">“Age”</w:t>
      </w:r>
      <w:r>
        <w:t xml:space="preserve">) is standardized continuous value (e.g. mean 60 years, s.d.=10 years),</w:t>
      </w:r>
    </w:p>
    <w:p>
      <w:pPr>
        <w:pStyle w:val="Compact"/>
        <w:numPr>
          <w:ilvl w:val="0"/>
          <w:numId w:val="1003"/>
        </w:numPr>
      </w:pPr>
      <w:r>
        <w:t xml:space="preserve">sex (</w:t>
      </w:r>
      <w:r>
        <w:t xml:space="preserve">“Sex”</w:t>
      </w:r>
      <w:r>
        <w:t xml:space="preserve">) is binary value, with 0/1 represent female/male respectively,</w:t>
      </w:r>
    </w:p>
    <w:p>
      <w:pPr>
        <w:pStyle w:val="Compact"/>
        <w:numPr>
          <w:ilvl w:val="0"/>
          <w:numId w:val="1003"/>
        </w:numPr>
      </w:pPr>
      <w:r>
        <w:t xml:space="preserve">race/ethnicity (</w:t>
      </w:r>
      <w:r>
        <w:t xml:space="preserve">“RE”</w:t>
      </w:r>
      <w:r>
        <w:t xml:space="preserve">) is binary value, with 0/1 represent Non-Hispanic White/Non-Hispanic Black respectively,</w:t>
      </w:r>
    </w:p>
    <w:p>
      <w:pPr>
        <w:pStyle w:val="Compact"/>
        <w:numPr>
          <w:ilvl w:val="0"/>
          <w:numId w:val="1003"/>
        </w:numPr>
      </w:pPr>
      <w:r>
        <w:t xml:space="preserve">Mutation subtype (</w:t>
      </w:r>
      <w:r>
        <w:t xml:space="preserve">“Mutation”</w:t>
      </w:r>
      <w:r>
        <w:t xml:space="preserve">) is binary value, with 0/1 represent mutation No/Yes respectively.</w:t>
      </w:r>
    </w:p>
    <w:p>
      <w:pPr>
        <w:pStyle w:val="FirstParagraph"/>
      </w:pPr>
      <w:r>
        <w:t xml:space="preserve">To add heterogeneity to the simulated data, we allow the distribution of the covariates to vary across sites. Specifically,</w:t>
      </w:r>
    </w:p>
    <w:p>
      <w:pPr>
        <w:pStyle w:val="Compact"/>
        <w:numPr>
          <w:ilvl w:val="0"/>
          <w:numId w:val="1004"/>
        </w:numPr>
      </w:pPr>
      <w:r>
        <w:t xml:space="preserve">the mean of age is uniformly distributed between (-0.5, 0.5), i.e. a range of 10 years of patients mean age.</w:t>
      </w:r>
    </w:p>
    <w:p>
      <w:pPr>
        <w:pStyle w:val="Compact"/>
        <w:numPr>
          <w:ilvl w:val="0"/>
          <w:numId w:val="1004"/>
        </w:numPr>
      </w:pPr>
      <w:r>
        <w:t xml:space="preserve">the proportion of male sex is uniformly distributed between (0.5, 0.6),</w:t>
      </w:r>
    </w:p>
    <w:p>
      <w:pPr>
        <w:pStyle w:val="Compact"/>
        <w:numPr>
          <w:ilvl w:val="0"/>
          <w:numId w:val="1004"/>
        </w:numPr>
      </w:pPr>
      <w:r>
        <w:t xml:space="preserve">the proportion of NHB race/ethnicity is uniformly distributed between (0.05, 0.25),</w:t>
      </w:r>
    </w:p>
    <w:p>
      <w:pPr>
        <w:pStyle w:val="Compact"/>
        <w:numPr>
          <w:ilvl w:val="0"/>
          <w:numId w:val="1004"/>
        </w:numPr>
      </w:pPr>
      <w:r>
        <w:t xml:space="preserve">the proportion of mutation is uniformly distributed between (0.1, 0.3).</w:t>
      </w:r>
    </w:p>
    <w:bookmarkEnd w:id="24"/>
    <w:bookmarkStart w:id="25" w:name="effect-size"/>
    <w:p>
      <w:pPr>
        <w:pStyle w:val="Heading3"/>
      </w:pPr>
      <w:r>
        <w:t xml:space="preserve">Effect size</w:t>
      </w:r>
    </w:p>
    <w:p>
      <w:pPr>
        <w:pStyle w:val="FirstParagraph"/>
      </w:pPr>
      <w:r>
        <w:t xml:space="preserve">We set the hazard ratio (HR) as 0.77 for treatment vs control, and 1.2, 1.5, 1.2, 1.8 for every 10-years age, male vs female, NHB vs NHW, and mutation yes vs no, respectively. The coefficients (i.e. log HR) used to generate survival time are then -0.261, 0.182, 0.405, 0.182, and 0.588.</w:t>
      </w:r>
    </w:p>
    <w:bookmarkEnd w:id="25"/>
    <w:bookmarkStart w:id="26" w:name="event-time"/>
    <w:p>
      <w:pPr>
        <w:pStyle w:val="Heading3"/>
      </w:pPr>
      <w:r>
        <w:t xml:space="preserve">Event time</w:t>
      </w:r>
    </w:p>
    <w:p>
      <w:pPr>
        <w:pStyle w:val="FirstParagraph"/>
      </w:pPr>
      <w:r>
        <w:t xml:space="preserve">The event time (</w:t>
      </w:r>
      <w:r>
        <w:t xml:space="preserve">“t_event”</w:t>
      </w:r>
      <w:r>
        <w:t xml:space="preserve">) is generated assuming Cox proportional hazard model with Weibull distributed baseline hazards. Specifically, the survival function at site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t>x</m:t>
              </m:r>
              <m:r>
                <m:t>β</m:t>
              </m:r>
            </m:sup>
          </m:sSup>
        </m:oMath>
      </m:oMathPara>
    </w:p>
    <w:p>
      <w:pPr>
        <w:pStyle w:val="FirstParagraph"/>
      </w:pPr>
      <w:r>
        <w:t xml:space="preserve">with the baseline survival function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0</m:t>
              </m:r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sup>
          </m:sSup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Weibull scale and shape parameters respectively.</w:t>
      </w:r>
      <w:r>
        <w:t xml:space="preserve"> </w:t>
      </w:r>
      <w:r>
        <w:t xml:space="preserve">We allow the baseline hazards to vary across sites, that is,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uniformly distributed between (30,40) and (8,12), respectively. These ranges are tuned to match the median survival time (34.4 months).</w:t>
      </w:r>
    </w:p>
    <w:bookmarkEnd w:id="26"/>
    <w:bookmarkStart w:id="27" w:name="censoring"/>
    <w:p>
      <w:pPr>
        <w:pStyle w:val="Heading3"/>
      </w:pPr>
      <w:r>
        <w:t xml:space="preserve">Censoring</w:t>
      </w:r>
    </w:p>
    <w:p>
      <w:pPr>
        <w:pStyle w:val="FirstParagraph"/>
      </w:pPr>
      <w:r>
        <w:t xml:space="preserve">We assume administrative censoring and set the end of follow-up as a quantile of the generated event times. Specifically, we set the end of follow-up time as 34% percentile of the generated event times, to match the desired event rate (34%). The final survival time (</w:t>
      </w:r>
      <w:r>
        <w:t xml:space="preserve">“time”</w:t>
      </w:r>
      <w:r>
        <w:t xml:space="preserve">) is equal to event time if event time &lt; censoring time (event indicator</w:t>
      </w:r>
      <w:r>
        <w:t xml:space="preserve"> </w:t>
      </w:r>
      <w:r>
        <w:t xml:space="preserve">“status”</w:t>
      </w:r>
      <w:r>
        <w:t xml:space="preserve">=1), or equal to the censoring time if event time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censoring time (</w:t>
      </w:r>
      <w:r>
        <w:t xml:space="preserve">“status”</w:t>
      </w:r>
      <w:r>
        <w:t xml:space="preserve">=0).</w:t>
      </w:r>
    </w:p>
    <w:bookmarkEnd w:id="27"/>
    <w:bookmarkStart w:id="28" w:name="summary-of-site-heterogeneity"/>
    <w:p>
      <w:pPr>
        <w:pStyle w:val="Heading3"/>
      </w:pPr>
      <w:r>
        <w:t xml:space="preserve">Summary of site heterogeneity</w:t>
      </w:r>
    </w:p>
    <w:p>
      <w:pPr>
        <w:pStyle w:val="FirstParagraph"/>
      </w:pPr>
      <w:r>
        <w:t xml:space="preserve">See below the actual parameters of sample size, Weibull baseline hazards, and covariate distributions for all the sites.</w:t>
      </w:r>
    </w:p>
    <w:p>
      <w:pPr>
        <w:pStyle w:val="SourceCode"/>
      </w:pPr>
      <w:r>
        <w:rPr>
          <w:rStyle w:val="VerbatimChar"/>
        </w:rPr>
        <w:t xml:space="preserve">##    Site   N weibull_scale weibull_shape  age.m sex.m  RE.m mutation.m</w:t>
      </w:r>
      <w:r>
        <w:br/>
      </w:r>
      <w:r>
        <w:rPr>
          <w:rStyle w:val="VerbatimChar"/>
        </w:rPr>
        <w:t xml:space="preserve">## 1     1 400        33.896         8.325  0.137 0.542 0.075      0.235</w:t>
      </w:r>
      <w:r>
        <w:br/>
      </w:r>
      <w:r>
        <w:rPr>
          <w:rStyle w:val="VerbatimChar"/>
        </w:rPr>
        <w:t xml:space="preserve">## 2     2 300        32.691        11.401  0.265 0.527 0.054      0.149</w:t>
      </w:r>
      <w:r>
        <w:br/>
      </w:r>
      <w:r>
        <w:rPr>
          <w:rStyle w:val="VerbatimChar"/>
        </w:rPr>
        <w:t xml:space="preserve">## 3     3 300        32.042        10.807 -0.032 0.536 0.125      0.274</w:t>
      </w:r>
      <w:r>
        <w:br/>
      </w:r>
      <w:r>
        <w:rPr>
          <w:rStyle w:val="VerbatimChar"/>
        </w:rPr>
        <w:t xml:space="preserve">## 4     4 300        39.949         8.116 -0.385 0.557 0.052      0.205</w:t>
      </w:r>
      <w:r>
        <w:br/>
      </w:r>
      <w:r>
        <w:rPr>
          <w:rStyle w:val="VerbatimChar"/>
        </w:rPr>
        <w:t xml:space="preserve">## 5     5 300        38.527         8.412  0.078 0.554 0.164      0.205</w:t>
      </w:r>
      <w:r>
        <w:br/>
      </w:r>
      <w:r>
        <w:rPr>
          <w:rStyle w:val="VerbatimChar"/>
        </w:rPr>
        <w:t xml:space="preserve">## 6     6 300        35.425        11.691  0.380 0.527 0.112      0.189</w:t>
      </w:r>
      <w:r>
        <w:br/>
      </w:r>
      <w:r>
        <w:rPr>
          <w:rStyle w:val="VerbatimChar"/>
        </w:rPr>
        <w:t xml:space="preserve">## 7     7 300        34.938         9.605  0.459 0.512 0.205      0.272</w:t>
      </w:r>
      <w:r>
        <w:br/>
      </w:r>
      <w:r>
        <w:rPr>
          <w:rStyle w:val="VerbatimChar"/>
        </w:rPr>
        <w:t xml:space="preserve">## 8     8 100        37.587        11.880  0.308 0.578 0.088      0.298</w:t>
      </w:r>
      <w:r>
        <w:br/>
      </w:r>
      <w:r>
        <w:rPr>
          <w:rStyle w:val="VerbatimChar"/>
        </w:rPr>
        <w:t xml:space="preserve">## 9     9 100        30.991         9.585  0.180 0.598 0.071      0.201</w:t>
      </w:r>
      <w:r>
        <w:br/>
      </w:r>
      <w:r>
        <w:rPr>
          <w:rStyle w:val="VerbatimChar"/>
        </w:rPr>
        <w:t xml:space="preserve">## 10   10 100        30.006         8.318  0.160 0.505 0.216      0.154</w:t>
      </w:r>
    </w:p>
    <w:bookmarkEnd w:id="28"/>
    <w:bookmarkStart w:id="29" w:name="deliverable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All the generated numbers are rounds to 2 decimal points.</w:t>
      </w:r>
    </w:p>
    <w:p>
      <w:pPr>
        <w:pStyle w:val="SourceCode"/>
      </w:pPr>
      <w:r>
        <w:rPr>
          <w:rStyle w:val="VerbatimChar"/>
        </w:rPr>
        <w:t xml:space="preserve">## Loading required package: data.table</w:t>
      </w:r>
    </w:p>
    <w:p>
      <w:pPr>
        <w:pStyle w:val="SourceCode"/>
      </w:pPr>
      <w:r>
        <w:rPr>
          <w:rStyle w:val="VerbatimChar"/>
        </w:rPr>
        <w:t xml:space="preserve">##         site t_event  time status   Trt   Age   Sex    RE Mutation</w:t>
      </w:r>
      <w:r>
        <w:br/>
      </w:r>
      <w:r>
        <w:rPr>
          <w:rStyle w:val="VerbatimChar"/>
        </w:rPr>
        <w:t xml:space="preserve">##       &lt;char&gt;   &lt;num&gt; &lt;num&gt;  &lt;num&gt; &lt;num&gt; &lt;num&gt; &lt;num&gt; &lt;num&gt;    &lt;num&gt;</w:t>
      </w:r>
      <w:r>
        <w:br/>
      </w:r>
      <w:r>
        <w:rPr>
          <w:rStyle w:val="VerbatimChar"/>
        </w:rPr>
        <w:t xml:space="preserve">##    1:  site1   35.91 33.62      0     0   1.1     1     0        0</w:t>
      </w:r>
      <w:r>
        <w:br/>
      </w:r>
      <w:r>
        <w:rPr>
          <w:rStyle w:val="VerbatimChar"/>
        </w:rPr>
        <w:t xml:space="preserve">##    2:  site1   36.71 33.62      0     0   1.0     1     0        0</w:t>
      </w:r>
      <w:r>
        <w:br/>
      </w:r>
      <w:r>
        <w:rPr>
          <w:rStyle w:val="VerbatimChar"/>
        </w:rPr>
        <w:t xml:space="preserve">##    3:  site1   27.56 27.56      1     0   1.0     1     0        0</w:t>
      </w:r>
      <w:r>
        <w:br/>
      </w:r>
      <w:r>
        <w:rPr>
          <w:rStyle w:val="VerbatimChar"/>
        </w:rPr>
        <w:t xml:space="preserve">##    4:  site1   39.89 33.62      0     0  -0.3     1     0        0</w:t>
      </w:r>
      <w:r>
        <w:br/>
      </w:r>
      <w:r>
        <w:rPr>
          <w:rStyle w:val="VerbatimChar"/>
        </w:rPr>
        <w:t xml:space="preserve">##    5:  site1   43.56 33.62      0     0  -2.4     1     0        0</w:t>
      </w:r>
      <w:r>
        <w:br/>
      </w:r>
      <w:r>
        <w:rPr>
          <w:rStyle w:val="VerbatimChar"/>
        </w:rPr>
        <w:t xml:space="preserve">##   ---                                                             </w:t>
      </w:r>
      <w:r>
        <w:br/>
      </w:r>
      <w:r>
        <w:rPr>
          <w:rStyle w:val="VerbatimChar"/>
        </w:rPr>
        <w:t xml:space="preserve">## 2496: site10   26.55 26.55      1     1  -0.7     0     1        0</w:t>
      </w:r>
      <w:r>
        <w:br/>
      </w:r>
      <w:r>
        <w:rPr>
          <w:rStyle w:val="VerbatimChar"/>
        </w:rPr>
        <w:t xml:space="preserve">## 2497: site10   40.61 33.62      0     1   0.5     1     0        0</w:t>
      </w:r>
      <w:r>
        <w:br/>
      </w:r>
      <w:r>
        <w:rPr>
          <w:rStyle w:val="VerbatimChar"/>
        </w:rPr>
        <w:t xml:space="preserve">## 2498: site10   38.11 33.62      0     1   1.1     0     0        0</w:t>
      </w:r>
      <w:r>
        <w:br/>
      </w:r>
      <w:r>
        <w:rPr>
          <w:rStyle w:val="VerbatimChar"/>
        </w:rPr>
        <w:t xml:space="preserve">## 2499: site10   24.14 24.14      1     1   1.0     1     0        0</w:t>
      </w:r>
      <w:r>
        <w:br/>
      </w:r>
      <w:r>
        <w:rPr>
          <w:rStyle w:val="VerbatimChar"/>
        </w:rPr>
        <w:t xml:space="preserve">## 2500: site10   31.58 31.58      1     1   1.0     1     1        0</w:t>
      </w:r>
    </w:p>
    <w:p>
      <w:pPr>
        <w:pStyle w:val="FirstParagraph"/>
      </w:pPr>
      <w:r>
        <w:t xml:space="preserve">The final generated data is in file</w:t>
      </w:r>
      <w:r>
        <w:t xml:space="preserve"> </w:t>
      </w:r>
      <w:r>
        <w:t xml:space="preserve">“JJ_pda_simu_data_20251123.csv”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chongliang@wustl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chongliang@wustl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J&amp;J PDA simulation</dc:title>
  <dc:creator>Chongliang Luo, PhD (chongliang@wustl.edu)</dc:creator>
  <cp:keywords/>
  <dcterms:created xsi:type="dcterms:W3CDTF">2025-11-24T21:05:33Z</dcterms:created>
  <dcterms:modified xsi:type="dcterms:W3CDTF">2025-11-24T21:05:33Z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2025-11-24</vt:lpwstr>
  </property>
  <property fmtid="{D5CDD505-2E9C-101B-9397-08002B2CF9AE}" pid="3" name="output">
    <vt:lpwstr>word_document</vt:lpwstr>
  </property>
</Properties>
</file>