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  <w:sz w:val="44"/>
          <w:lang w:eastAsia="zh-CN"/>
          <w:eastAsianLayout w:id="1"/>
        </w:rPr>
        <w:t>量化投资：数据驱动的财富策略</w:t>
      </w:r>
    </w:p>
    <w:p>
      <w:pPr>
        <w:pStyle w:val="Heading1"/>
        <w:jc w:val="left"/>
      </w:pPr>
      <w:r>
        <w:rPr>
          <w:rFonts w:ascii="微软雅黑" w:hAnsi="微软雅黑" w:eastAsia="微软雅黑"/>
          <w:lang w:eastAsia="zh-CN"/>
          <w:eastAsianLayout w:id="1"/>
        </w:rPr>
        <w:t>目录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1. 量化投资概述：数据驱动的财富管理新范式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2. 量化策略开发的关键技术框架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3. 数据基础设施与处理技术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4. 实战中的挑战与前沿发展</w:t>
      </w:r>
    </w:p>
    <w:p>
      <w:r>
        <w:br w:type="page"/>
      </w:r>
    </w:p>
    <w:p>
      <w:pPr>
        <w:pStyle w:val="Heading1"/>
        <w:jc w:val="left"/>
      </w:pPr>
      <w:r>
        <w:rPr>
          <w:rFonts w:ascii="微软雅黑" w:hAnsi="微软雅黑" w:eastAsia="微软雅黑"/>
          <w:lang w:eastAsia="zh-CN"/>
          <w:eastAsianLayout w:id="1"/>
        </w:rPr>
        <w:t>1. 量化投资概述：数据驱动的财富管理新范式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章节概要: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量化投资的定义与核心特征：基于数学模型和统计分析的系统性投资方法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数据驱动的决策流程：从市场数据采集到策略回测的全链条解析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与传统主动投资的对比：量化策略在风险控制和效率上的优势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主要参与机构与发展现状：对冲基金、量化私募与智能投顾的实践应用</w:t>
      </w:r>
    </w:p>
    <w:p/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详细内容: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量化投资概述：数据驱动的财富管理新范式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量化投资的定义与核心特征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是一种基于数学模型、统计分析和计算机技术的系统性投资方法。其核心特征在于通过数据驱动的决策流程，将投资逻辑转化为可量化的规则，从而减少人为情绪干扰并提高策略的可重复性。典型的量化策略包括动量策略（利用资产价格趋势延续性）、均值回归（基于价格向历史均值回归的假设）以及统计套利（通过价差收敛获利）。这些策略通常依赖于多因子模型，通过挖掘Alpha（超额收益）因子（如价值、质量、波动率等）来构建投资组合，同时控制Beta（市场系统性风险）暴露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与传统投资相比，量化方法的优势在于其严格的纪律性和可扩展性。例如，高频交易策略通过微秒级的数据处理能力捕捉市场短暂失衡，而中低频策略则依赖基本面量化模型分析财报数据。根据BarclayHedge数据，2022年全球量化对冲基金规模突破3.5万亿美元，夏普比率（风险调整后收益指标）普遍高于传统主动基金，凸显其风险控制能力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数据驱动的决策流程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的全链条始于高质量数据采集，涵盖行情数据（如Tick级价格）、基本面数据（财务报表）、另类数据（卫星图像、社交媒体情绪）等。数据处理阶段需解决缺失值填充、异常值剔除等问题，例如使用中位数法或机器学习插值。回测环节则通过历史数据验证策略有效性，关键指标包括年化收益率、最大回撤（策略峰值至谷值的损失幅度）和胜率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以统计套利策略为例，需检验价差序列的协整性，并通过蒙特卡洛模拟评估极端市场下的表现。2020年原油期货"负油价"事件中，未能通过压力测试的策略出现巨额亏损，凸显回测严谨性的重要性。此外，过拟合风险（策略过度适配历史数据）需通过样本外测试和Walk-Forward分析加以规避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与传统主动投资的对比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量化策略在风险控制方面具有显著优势。通过分散化（持有上千只标的）和动态对冲（如期权Gamma中性策略），可将组合波动率降低30%-50%（JP Morgan 2021年研究）。效率层面，算法交易能在毫秒级完成大宗订单拆分，减少市场冲击成本。相比之下，传统基金经理的主观判断易受认知偏差影响，且管理规模超过百亿美元后业绩普遍衰减。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但量化投资也存在局限性。在黑天鹅事件（如2022年英国国债危机）中，模型可能因历史数据覆盖不足而失效。此外，高频策略面临日益激烈的同质化竞争，部分ETF做市策略的夏普比率已从2015年的4.0降至2023年的1.8（TABB Group数据）。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主要参与机构与发展现状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对冲基金如文艺复兴（Renaissance Technologies）和Two Sigma通过隐马尔可夫模型等复杂算法持续获取超额收益，其旗舰基金年化Alpha可达15%以上。量化私募（如中国幻方）则聚焦A股市场异质</w:t>
      </w:r>
    </w:p>
    <w:p>
      <w:r>
        <w:br w:type="page"/>
      </w:r>
    </w:p>
    <w:p>
      <w:pPr>
        <w:pStyle w:val="Heading1"/>
        <w:jc w:val="left"/>
      </w:pPr>
      <w:r>
        <w:rPr>
          <w:rFonts w:ascii="微软雅黑" w:hAnsi="微软雅黑" w:eastAsia="微软雅黑"/>
          <w:lang w:eastAsia="zh-CN"/>
          <w:eastAsianLayout w:id="1"/>
        </w:rPr>
        <w:t>2. 量化策略开发的关键技术框架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章节概要: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多因子模型构建：价值、动量、质量等核心因子的选取与加权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机器学习在量化中的应用：监督学习预测与无监督聚类分析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高频交易策略设计：订单簿动态分析与微观结构信号捕捉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风险模型集成：VaR计算与组合优化技术</w:t>
      </w:r>
    </w:p>
    <w:p/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详细内容: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量化策略开发的关键技术框架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多因子模型构建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多因子模型是量化投资的核心框架之一，通过系统性地筛选和组合多个因子来捕捉市场超额收益（Alpha）。常见的因子包括价值因子（如市盈率、市净率）、动量因子（如过去12个月收益率）、质量因子（如ROE、资产负债率）等。研究表明，价值因子在长期投资中表现稳健，而动量因子在趋势性市场中更具优势。例如，Fama-French三因子模型通过市场风险溢价（Beta）、市值因子（SMB）和价值因子（HML）解释股票收益的横截面差异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因子的加权方法直接影响策略表现。等权加权简单但易受极端值影响，而基于因子IC（信息系数）或经济逻辑的动态加权能提升稳健性。回测显示，2010-2020年动态加权的多因子组合夏普比率可达1.5，显著高于单一因子策略。然而，因子拥挤（如2017年动量因子集体失效）可能导致策略回撤，需结合风险模型优化头寸分布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机器学习在量化中的应用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监督学习（如XGBoost、LSTM）被广泛用于收益预测。以标普500成分股为例，通过财务指标、技术指标和另类数据（如新闻情绪）构建特征，LSTM模型在2022年预测次日涨跌的准确率达58%。无监督学习（如K-means、PCA）则用于资产聚类或异常检测。例如，对加密货币市场进行聚类分析可识别出高关联性资产组，辅助统计套利策略开发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机器学习模型的优势在于非线性关系捕捉和高维数据处理，但其黑箱特性可能带来过拟合风险。回测中需严格划分训练集与测试集，并监控样本外表现。2021年某对冲基金因过度依赖历史数据建模而未识别市场结构变化，导致最大回撤超20%，凸显了数据时效性管理的重要性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高频交易策略设计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高频策略依赖订单簿微观结构分析。限价订单簿的买卖价差、深度不平衡（如买一量/卖一量比值）可预测短期价格变动。例如，纳斯达克股票在订单簿买方压力突增时，未来5秒内价格上涨概率达63%。此外，事件驱动策略（如大单拆分检测）能捕捉流动性冲击信号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高频策略的优势在于低相关性（与传统资产夏普比率相关性&lt;0.3）和高周转率，但面临严峻的竞争环境。2023年Citadel Securities披露其高频策略延迟已降至纳秒级，表明基础设施成本成为关键壁垒。同时，监管变化（如欧盟MiFID II对高频交易的限制）可能改变策略盈利模式。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风险模型集成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风险价值（VaR）是主流量化风控工具。基于蒙特卡洛模拟的VaR可评估组合在95%置信度下的单日最大损失。例如，2020年3月美股熔断期间，某多空策略的VaR值从2%飙升至8.5%，触发自动减仓机制。组合优化技术（如Black-Litterman模型）则通过引入观点矩阵调整资产权重，平衡预期收益与跟踪误差（如将组合波动率控制在年化12%以内）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集成风险模型需考虑尾部风险（如CVaR）和流动性风险。2022年英国养老金危机显示，单纯依赖VaR可能低估极端情景。实践中，风险预算分配（如30%预算给动量策略）与动态再平衡（如月度调仓）能提升策略鲁棒性。</w:t>
      </w:r>
    </w:p>
    <w:p>
      <w:r>
        <w:br w:type="page"/>
      </w:r>
    </w:p>
    <w:p>
      <w:pPr>
        <w:pStyle w:val="Heading1"/>
        <w:jc w:val="left"/>
      </w:pPr>
      <w:r>
        <w:rPr>
          <w:rFonts w:ascii="微软雅黑" w:hAnsi="微软雅黑" w:eastAsia="微软雅黑"/>
          <w:lang w:eastAsia="zh-CN"/>
          <w:eastAsianLayout w:id="1"/>
        </w:rPr>
        <w:t>3. 数据基础设施与处理技术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章节概要: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金融数据类型与来源：Tick数据、基本面数据与另类数据获取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数据清洗与特征工程：处理缺失值与构建有效预测因子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分布式计算架构：Hadoop/Spark在大规模回测中的运用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实时数据处理：流计算技术在程序化交易中的实现</w:t>
      </w:r>
    </w:p>
    <w:p/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详细内容: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数据基础设施与处理技术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金融数据类型与来源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的核心依赖于高质量的数据，主要包括Tick数据、基本面数据和另类数据。Tick数据记录了每一笔交易的详细信息（如价格、成交量、时间戳），适用于高频交易策略（如统计套利或做市策略）。例如，纳斯达克的Level 2数据提供了订单簿的深度信息，可用于优化算法交易执行。基本面数据涵盖财务报表、宏观经济指标等，常用于多因子模型（如Fama-French三因子模型）中的价值或质量因子构建。另类数据（如卫星图像、社交媒体情绪）近年来成为Alpha的新来源，例如通过分析零售停车场车辆数量预测公司营收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获取需考虑来源的可靠性和延迟。交易所直连（如彭博、路透）提供低延迟的实时数据，但成本较高；第三方聚合平台（如Quandl、Wind）则更适合中小机构。另类数据需特别注意清洗和标准化，例如非结构化的新闻文本需通过NLP技术转化为情感分数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数据清洗与特征工程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原始金融数据常包含缺失值、异常值（如闪崩导致的离群价格）和幸存者偏差（如退市股票被剔除）。清洗方法包括向前填充（FFill）、线性插值或基于统计的阈值过滤（如3σ原则）。例如，2010年美股“闪电崩盘”中部分Tick数据异常，需通过时间序列平滑处理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特征工程是策略有效性的关键。动量策略可能使用过去20日收益率作为因子，而均值回归策略则依赖布林带或Z-Score标准化。因子需通过IC（信息系数）和夏普比率评估，避免过拟合。例如，在A股市场中，换手率因子在牛市环境中表现优异，但在震荡市中可能失效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分布式计算架构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大规模回测（如测试十年期全市场股票组合）需分布式计算支持。Hadoop的HDFS适合存储PB级历史数据，而Spark的In-Memory计算可加速复杂策略的回测迭代。例如，测试一个涵盖5000只美股的多因子策略，单机可能需要数周，而Spark集群可将时间缩短至小时级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架构设计需平衡吞吐量与延迟。批处理模式（如MapReduce）适合离线分析，但对实时性要求高的策略（如期货套利）需结合Spark Streaming。此外，需监控最大回撤和策略容量，例如高频策略在分布式环境下可能因网络延迟丧失优势。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实时数据处理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程序化交易依赖流计算技术（如Flink、Kafka）处理实时市场数据。例如，外汇市场的三角套利策略需在毫秒级内完成汇率差计算和订单执行。Lambda架构可整合批处理与流处理，既保证实时性又支持历史数据分析。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优势在于捕捉瞬时市场无效性（如事件驱动策略），但需应对数据乱序和网络抖动。例如，2019年原油期货暴跌事件中，流系统需快速识别异常波动并触发风控规则。适用环境上，流动性高的市场（如标普500指数期货）更适合实时策略，而流动性差的品种可能因滑点导致策略失效。</w:t>
      </w:r>
    </w:p>
    <w:p>
      <w:r>
        <w:br w:type="page"/>
      </w:r>
    </w:p>
    <w:p>
      <w:pPr>
        <w:pStyle w:val="Heading1"/>
        <w:jc w:val="left"/>
      </w:pPr>
      <w:r>
        <w:rPr>
          <w:rFonts w:ascii="微软雅黑" w:hAnsi="微软雅黑" w:eastAsia="微软雅黑"/>
          <w:lang w:eastAsia="zh-CN"/>
          <w:eastAsianLayout w:id="1"/>
        </w:rPr>
        <w:t>4. 实战中的挑战与前沿发展</w:t>
      </w:r>
    </w:p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章节概要: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过拟合防范：Walk-Forward检验与样本外测试方法论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市场环境适应：策略衰减监测与动态调整机制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另类数据创新：卫星图像、社交情绪等新型数据源的应用</w:t>
      </w:r>
    </w:p>
    <w:p>
      <w:pPr>
        <w:pStyle w:val="ListBullet"/>
        <w:jc w:val="both"/>
      </w:pPr>
      <w:r>
        <w:rPr>
          <w:rFonts w:ascii="微软雅黑" w:hAnsi="微软雅黑" w:eastAsia="微软雅黑"/>
          <w:lang w:eastAsia="zh-CN"/>
          <w:eastAsianLayout w:id="1"/>
        </w:rPr>
        <w:t>合规与伦理：算法交易监管框架与数据隐私保护</w:t>
      </w:r>
    </w:p>
    <w:p/>
    <w:p>
      <w:pPr>
        <w:jc w:val="left"/>
      </w:pPr>
      <w:r>
        <w:rPr>
          <w:rFonts w:ascii="微软雅黑" w:hAnsi="微软雅黑" w:eastAsia="微软雅黑"/>
          <w:b/>
          <w:lang w:eastAsia="zh-CN"/>
          <w:eastAsianLayout w:id="1"/>
        </w:rPr>
        <w:t>详细内容: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实战中的挑战与前沿发展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过拟合防范：Walk-Forward检验与样本外测试方法论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投资策略（如动量策略、均值回归或统计套利）的开发高度依赖历史数据回测，但过拟合是常见陷阱。过拟合指策略在训练数据上表现优异，但在实际市场中失效，通常因模型过度复杂或数据挖掘偏差导致。防范方法包括Walk-Forward检验（WFA）和严格的样本外测试。WFA将数据分为滚动窗口，交替进行训练和验证，确保策略在时间序列上的稳健性。例如，在标普500指数回测中，WFA可揭示策略在2008年金融危机或2020年疫情波动期的适应性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样本外测试进一步验证策略的泛化能力，通常预留20%-30%数据作为测试集。关键绩效指标（如夏普比率、最大回撤和Alpha）需在样本内外保持一致。若策略在样本外表现显著下滑（如夏普比率从2.0降至0.5），则需重新评估参数或逻辑。此外，蒙特卡洛模拟可通过随机化数据分割，检验策略对数据噪声的敏感性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市场环境适应：策略衰减监测与动态调整机制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量化策略的衰减（如高频套利策略因市场竞争加剧失效）是实战中的核心挑战。监测工具包括滚动绩效分析（如季度夏普比率趋势）和市场状态识别（如波动率regime切换）。例如，2019年低波动环境中，均值回归策略表现优异，但2022年高波动市场可能导致频繁止损。动态调整机制可通过以下方式实现：一是参数自适应（如Kalman滤波更新权重），二是多策略切换（根据市场信号选择动量或反转子策略）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劣势在于过度调整可能引入新的过拟合风险。例如，频繁优化参数可能导致策略失去经济学逻辑支撑。因此，需平衡灵活性与稳定性，通常通过设定阈值（如最大回撤超过15%触发暂停）或集成机器学习（如强化学习优化调整频率）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另类数据创新：卫星图像与社交情绪的应用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传统数据（如财报、价格）的竞争促使机构转向另类数据。卫星图像通过分析停车场车辆数量预测零售销售额，如对冲基金使用沃尔玛停车场数据预判季度营收。社交情绪数据（如Twitter情感分析）可捕捉市场情绪拐点，例如GameStop事件中，Reddit情绪指标提前预警了散户逼空行为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然而，另类数据存在噪声高、处理成本大等劣势。卫星数据需计算机视觉技术提取特征，且可能受天气干扰；社交情绪数据需自然语言处理（NLP）清洗，并面临语义歧义挑战。适用场景上，此类数据更适合事件驱动或短期交易策略，长期Alpha可能因数据普及而衰减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合规与伦理：算法监管与数据隐私保护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随着算法交易普及，监管框架（如欧盟MiFID II、美国SEC Rule 15c3-5）要求策略具备透明度和风控模块。例如，防止“闪崩”的熔断机制需嵌入高频交易系统。数据隐私方面，GDPR等法规限制个人数据使用，需匿名化处理或获得明确授权。</w:t>
      </w:r>
    </w:p>
    <w:p>
      <w:pPr>
        <w:jc w:val="both"/>
      </w:pPr>
      <w:r>
        <w:rPr>
          <w:rFonts w:ascii="微软雅黑" w:hAnsi="微软雅黑" w:eastAsia="微软雅黑"/>
          <w:lang w:eastAsia="zh-CN"/>
          <w:eastAsianLayout w:id="1"/>
        </w:rPr>
        <w:t>伦理争议集中在市场公平性（如散户与机构的数据鸿沟）和算法偏见（如信贷评分模型歧视特定群体）。解决方案包括第三方审计和伦理委员会评估，如摩根大通成立AI伦理团队审查模型决策逻辑。合规成本虽高，但可降低法律风险并增强投资者信任。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  <w:bidi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 w:eastAsia="微软雅黑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 w:eastAsia="微软雅黑"/>
      <w:b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 w:eastAsia="微软雅黑"/>
      <w:color w:val="243F60" w:themeColor="accent1" w:themeShade="7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 w:eastAsia="微软雅黑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 w:eastAsia="微软雅黑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 w:eastAsia="微软雅黑"/>
      <w:color w:val="4F81BD" w:themeColor="accent1"/>
      <w:sz w:val="2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 w:eastAsia="微软雅黑"/>
      <w:i/>
      <w:iCs/>
      <w:color w:val="404040" w:themeColor="text1" w:themeTint="BF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