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pStyle w:val="af2"/>
      </w:pPr>
      <w:r>
        <w:rPr>
          <w:b/>
          <w:sz w:val="36"/>
        </w:rPr>
        <w:t>AddRmsNorm算子设计方案</w:t>
      </w:r>
    </w:p>
    <w:p>
      <w:pPr>
        <w:pStyle w:val="af3"/>
      </w:pPr>
      <w:r>
        <w:rPr>
          <w:b w:val="0"/>
        </w:rPr>
        <w:t>适配硬件：Atlas A2推理系列产品；开发语言：Triton-Ascend；CANN版本：9.0.0验证环境。</w:t>
      </w:r>
    </w:p>
    <w:p>
      <w:pPr>
        <w:pStyle w:val="1"/>
      </w:pPr>
      <w:r>
        <w:rPr>
          <w:b/>
        </w:rPr>
        <w:t>1. 需求分析</w:t>
      </w:r>
    </w:p>
    <w:p>
      <w:pPr>
        <w:pStyle w:val="af3"/>
      </w:pPr>
      <w:r>
        <w:rPr>
          <w:b w:val="0"/>
        </w:rPr>
        <w:t>AddRmsNorm用于Transformer类模型中的残差相加与RMS归一化融合计算。本实现聚焦yOut输出，公式为 z = x1 + x2；yOut = z * rsqrt(mean(z * z, axis=-1, keepdims=True) + epsilon) * gamma。CANN接口中的xOut、rstdOut等辅助输出不属于本次交付范围。</w:t>
      </w:r>
    </w:p>
    <w:p>
      <w:pPr>
        <w:pStyle w:val="1"/>
      </w:pPr>
      <w:r>
        <w:rPr>
          <w:b/>
        </w:rPr>
        <w:t>2. 接口与形状覆盖</w:t>
      </w:r>
    </w:p>
    <w:p>
      <w:pPr>
        <w:pStyle w:val="af3"/>
      </w:pPr>
      <w:r>
        <w:rPr>
          <w:b w:val="0"/>
        </w:rPr>
        <w:t>接口原型：add_rms_norm(x1: Tensor, x2: Tensor, gamma: Tensor, epsilon: float = 1e-6) -&gt; Tensor。</w:t>
      </w:r>
    </w:p>
    <w:p>
      <w:pPr>
        <w:pStyle w:val="af3"/>
      </w:pPr>
      <w:r>
        <w:rPr>
          <w:b w:val="0"/>
        </w:rPr>
        <w:t>公开风格验证覆盖 B in {1,8,16,32,64}、S in {1,8,32,128}、H in {3584,4096,5120,8192}，共80个BF16 case。</w:t>
      </w:r>
    </w:p>
    <w:p>
      <w:pPr>
        <w:pStyle w:val="1"/>
      </w:pPr>
      <w:r>
        <w:rPr>
          <w:b/>
        </w:rPr>
        <w:t>3. Kernel设计</w:t>
      </w:r>
    </w:p>
    <w:p>
      <w:pPr>
        <w:pStyle w:val="af3"/>
      </w:pPr>
      <w:r>
        <w:rPr>
          <w:b w:val="0"/>
        </w:rPr>
        <w:t>• 输入校验：x1、x2、gamma必须是NPU上的连续BF16三维张量，形状一致；epsilon为正数。</w:t>
      </w:r>
    </w:p>
    <w:p>
      <w:pPr>
        <w:pStyle w:val="af3"/>
      </w:pPr>
      <w:r>
        <w:rPr>
          <w:b w:val="0"/>
        </w:rPr>
        <w:t>• H &lt;= 4096 使用单个融合Triton kernel。</w:t>
      </w:r>
    </w:p>
    <w:p>
      <w:pPr>
        <w:pStyle w:val="af3"/>
      </w:pPr>
      <w:r>
        <w:rPr>
          <w:b w:val="0"/>
        </w:rPr>
        <w:t>• 4096 &lt; H 且 next_power_of_2(H) &lt;= 8192 使用两个Triton kernel，先计算FP32 rstd，再写出yOut。</w:t>
      </w:r>
    </w:p>
    <w:p>
      <w:pPr>
        <w:pStyle w:val="af3"/>
      </w:pPr>
      <w:r>
        <w:rPr>
          <w:b w:val="0"/>
        </w:rPr>
        <w:t>• 更宽H使用8192 hidden元素分块的partial-sum/reduce/apply同后端路径。</w:t>
      </w:r>
    </w:p>
    <w:p>
      <w:pPr>
        <w:pStyle w:val="af3"/>
      </w:pPr>
      <w:r>
        <w:rPr>
          <w:b w:val="0"/>
        </w:rPr>
        <w:t>• 所有被测计算都在Triton-Ascend JIT kernel中完成，输出写回BF16 yOut。</w:t>
      </w:r>
    </w:p>
    <w:p>
      <w:pPr>
        <w:pStyle w:val="1"/>
      </w:pPr>
      <w:r>
        <w:rPr>
          <w:b/>
        </w:rPr>
        <w:t>4. 精度设计</w:t>
      </w:r>
    </w:p>
    <w:p>
      <w:pPr>
        <w:pStyle w:val="af3"/>
      </w:pPr>
      <w:r>
        <w:rPr>
          <w:b w:val="0"/>
        </w:rPr>
        <w:t>验证脚本复刻BF16检查口径：阈值为2^-7 = 0.0078125，普通位置要求MERE &lt; threshold且MARE &lt; 10 * threshold，小值或抵消位置使用checker的ErrorCount规则。Triton候选在80个公开风格case上80/80通过；手动泛化审计manual_generalization_audit_40_fixed_20260612_155512为40/40通过。</w:t>
      </w:r>
    </w:p>
    <w:p>
      <w:pPr>
        <w:pStyle w:val="1"/>
      </w:pPr>
      <w:r>
        <w:rPr>
          <w:b/>
        </w:rPr>
        <w:t>5. 无fallback边界</w:t>
      </w:r>
    </w:p>
    <w:p>
      <w:pPr>
        <w:pStyle w:val="af3"/>
      </w:pPr>
      <w:r>
        <w:rPr>
          <w:b w:val="0"/>
        </w:rPr>
        <w:t>• 被测AddRmsNorm函数只使用本地Triton-Ascend JIT kernel。</w:t>
      </w:r>
    </w:p>
    <w:p>
      <w:pPr>
        <w:pStyle w:val="af3"/>
      </w:pPr>
      <w:r>
        <w:rPr>
          <w:b w:val="0"/>
        </w:rPr>
        <w:t>• Python封装只做元数据校验、输出/工作区分配和launch参数组织。</w:t>
      </w:r>
    </w:p>
    <w:p>
      <w:pPr>
        <w:pStyle w:val="af3"/>
      </w:pPr>
      <w:r>
        <w:rPr>
          <w:b w:val="0"/>
        </w:rPr>
        <w:t>• 被测路径不调用PyTorch等价实现、torch_npu.npu_add_rms_norm、CANN/vendor AddRmsNorm、CPU fallback、任务golden路径、peer或其他后端代码。</w:t>
      </w:r>
    </w:p>
    <w:p>
      <w:pPr>
        <w:pStyle w:val="af3"/>
      </w:pPr>
      <w:r>
        <w:rPr>
          <w:b w:val="0"/>
        </w:rPr>
        <w:t>• 实现根据运行时dtype/rank/shape/contiguity和hidden维能力边界选择路径，不根据case id、workload文件名、输入取值、输出模式或计时特征分支。</w:t>
      </w:r>
    </w:p>
    <w:p>
      <w:pPr>
        <w:pStyle w:val="1"/>
      </w:pPr>
      <w:r>
        <w:rPr>
          <w:b/>
        </w:rPr>
        <w:t>6. 计时与性能</w:t>
      </w:r>
    </w:p>
    <w:p>
      <w:pPr>
        <w:pStyle w:val="af3"/>
      </w:pPr>
      <w:r>
        <w:rPr>
          <w:b w:val="0"/>
        </w:rPr>
        <w:t>当前交付采用active-window作为主比较口径，kernel-sum作为诊断口径。active-window为同一Step Id内可见NPU kernel的max(end)-min(start)，case时间取measured step中位数；kernel-sum按kernel名聚合每步duration后取中位并求和。</w:t>
      </w:r>
    </w:p>
    <w:p>
      <w:pPr>
        <w:pStyle w:val="af3"/>
      </w:pPr>
      <w:r>
        <w:rPr>
          <w:b w:val="0"/>
        </w:rPr>
        <w:t>三路均报告两个时间：Triton候选 active-window/kernel-sum 来自OpForge eval_20260612_155910 candidate-active-window probe；Torch语义实现和torch_npu helper来自交付JSONL中的baseline_active_window device_timeline。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t>指标</w:t>
            </w:r>
          </w:p>
        </w:tc>
        <w:tc>
          <w:tcPr>
            <w:tcW w:type="dxa" w:w="4592"/>
          </w:tcPr>
          <w:p>
            <w:r>
              <w:t>数值</w:t>
            </w:r>
          </w:p>
        </w:tc>
      </w:tr>
      <w:tr>
        <w:tc>
          <w:tcPr>
            <w:tcW w:type="dxa" w:w="4592"/>
          </w:tcPr>
          <w:p>
            <w:r>
              <w:t>Triton 候选 active-window geomean</w:t>
            </w:r>
          </w:p>
        </w:tc>
        <w:tc>
          <w:tcPr>
            <w:tcW w:type="dxa" w:w="4592"/>
          </w:tcPr>
          <w:p>
            <w:r>
              <w:t>47.855 us</w:t>
            </w:r>
          </w:p>
        </w:tc>
      </w:tr>
      <w:tr>
        <w:tc>
          <w:tcPr>
            <w:tcW w:type="dxa" w:w="4592"/>
          </w:tcPr>
          <w:p>
            <w:r>
              <w:t>Triton 候选 kernel-sum geomean</w:t>
            </w:r>
          </w:p>
        </w:tc>
        <w:tc>
          <w:tcPr>
            <w:tcW w:type="dxa" w:w="4592"/>
          </w:tcPr>
          <w:p>
            <w:r>
              <w:t>20.180 us</w:t>
            </w:r>
          </w:p>
        </w:tc>
      </w:tr>
      <w:tr>
        <w:tc>
          <w:tcPr>
            <w:tcW w:type="dxa" w:w="4592"/>
          </w:tcPr>
          <w:p>
            <w:r>
              <w:t>Torch 语义 active-window geomean</w:t>
            </w:r>
          </w:p>
        </w:tc>
        <w:tc>
          <w:tcPr>
            <w:tcW w:type="dxa" w:w="4592"/>
          </w:tcPr>
          <w:p>
            <w:r>
              <w:t>343.639 us</w:t>
            </w:r>
          </w:p>
        </w:tc>
      </w:tr>
      <w:tr>
        <w:tc>
          <w:tcPr>
            <w:tcW w:type="dxa" w:w="4592"/>
          </w:tcPr>
          <w:p>
            <w:r>
              <w:t>Torch 语义 kernel-sum geomean</w:t>
            </w:r>
          </w:p>
        </w:tc>
        <w:tc>
          <w:tcPr>
            <w:tcW w:type="dxa" w:w="4592"/>
          </w:tcPr>
          <w:p>
            <w:r>
              <w:t>106.451 us</w:t>
            </w:r>
          </w:p>
        </w:tc>
      </w:tr>
      <w:tr>
        <w:tc>
          <w:tcPr>
            <w:tcW w:type="dxa" w:w="4592"/>
          </w:tcPr>
          <w:p>
            <w:r>
              <w:t>torch_npu helper active-window geomean</w:t>
            </w:r>
          </w:p>
        </w:tc>
        <w:tc>
          <w:tcPr>
            <w:tcW w:type="dxa" w:w="4592"/>
          </w:tcPr>
          <w:p>
            <w:r>
              <w:t>209.043 us</w:t>
            </w:r>
          </w:p>
        </w:tc>
      </w:tr>
      <w:tr>
        <w:tc>
          <w:tcPr>
            <w:tcW w:type="dxa" w:w="4592"/>
          </w:tcPr>
          <w:p>
            <w:r>
              <w:t>torch_npu helper kernel-sum geomean</w:t>
            </w:r>
          </w:p>
        </w:tc>
        <w:tc>
          <w:tcPr>
            <w:tcW w:type="dxa" w:w="4592"/>
          </w:tcPr>
          <w:p>
            <w:r>
              <w:t>209.136 us</w:t>
            </w:r>
          </w:p>
        </w:tc>
      </w:tr>
      <w:tr>
        <w:tc>
          <w:tcPr>
            <w:tcW w:type="dxa" w:w="4592"/>
          </w:tcPr>
          <w:p>
            <w:r>
              <w:t>vs Torch 主加速比 active/active</w:t>
            </w:r>
          </w:p>
        </w:tc>
        <w:tc>
          <w:tcPr>
            <w:tcW w:type="dxa" w:w="4592"/>
          </w:tcPr>
          <w:p>
            <w:r>
              <w:t>7.180762x</w:t>
            </w:r>
          </w:p>
        </w:tc>
      </w:tr>
      <w:tr>
        <w:tc>
          <w:tcPr>
            <w:tcW w:type="dxa" w:w="4592"/>
          </w:tcPr>
          <w:p>
            <w:r>
              <w:t>vs Torch 诊断加速比 kernel/kernel</w:t>
            </w:r>
          </w:p>
        </w:tc>
        <w:tc>
          <w:tcPr>
            <w:tcW w:type="dxa" w:w="4592"/>
          </w:tcPr>
          <w:p>
            <w:r>
              <w:t>5.275206x</w:t>
            </w:r>
          </w:p>
        </w:tc>
      </w:tr>
      <w:tr>
        <w:tc>
          <w:tcPr>
            <w:tcW w:type="dxa" w:w="4592"/>
          </w:tcPr>
          <w:p>
            <w:r>
              <w:t>vs Torch 诊断 baseline-active/candidate-kernel</w:t>
            </w:r>
          </w:p>
        </w:tc>
        <w:tc>
          <w:tcPr>
            <w:tcW w:type="dxa" w:w="4592"/>
          </w:tcPr>
          <w:p>
            <w:r>
              <w:t>17.029071x</w:t>
            </w:r>
          </w:p>
        </w:tc>
      </w:tr>
      <w:tr>
        <w:tc>
          <w:tcPr>
            <w:tcW w:type="dxa" w:w="4592"/>
          </w:tcPr>
          <w:p>
            <w:r>
              <w:t>vs Torch 诊断 baseline-kernel/candidate-active</w:t>
            </w:r>
          </w:p>
        </w:tc>
        <w:tc>
          <w:tcPr>
            <w:tcW w:type="dxa" w:w="4592"/>
          </w:tcPr>
          <w:p>
            <w:r>
              <w:t>2.224432x</w:t>
            </w:r>
          </w:p>
        </w:tc>
      </w:tr>
      <w:tr>
        <w:tc>
          <w:tcPr>
            <w:tcW w:type="dxa" w:w="4592"/>
          </w:tcPr>
          <w:p>
            <w:r>
              <w:t>vs torch_npu PASS 子集主加速比 active/active</w:t>
            </w:r>
          </w:p>
        </w:tc>
        <w:tc>
          <w:tcPr>
            <w:tcW w:type="dxa" w:w="4592"/>
          </w:tcPr>
          <w:p>
            <w:r>
              <w:t>3.271697x</w:t>
            </w:r>
          </w:p>
        </w:tc>
      </w:tr>
      <w:tr>
        <w:tc>
          <w:tcPr>
            <w:tcW w:type="dxa" w:w="4592"/>
          </w:tcPr>
          <w:p>
            <w:r>
              <w:t>vs torch_npu PASS 子集诊断加速比 kernel/kernel</w:t>
            </w:r>
          </w:p>
        </w:tc>
        <w:tc>
          <w:tcPr>
            <w:tcW w:type="dxa" w:w="4592"/>
          </w:tcPr>
          <w:p>
            <w:r>
              <w:t>9.813551x</w:t>
            </w:r>
          </w:p>
        </w:tc>
      </w:tr>
      <w:tr>
        <w:tc>
          <w:tcPr>
            <w:tcW w:type="dxa" w:w="4592"/>
          </w:tcPr>
          <w:p>
            <w:r>
              <w:t>选中基线主加速比 active/active</w:t>
            </w:r>
          </w:p>
        </w:tc>
        <w:tc>
          <w:tcPr>
            <w:tcW w:type="dxa" w:w="4592"/>
          </w:tcPr>
          <w:p>
            <w:r>
              <w:t>4.716968x</w:t>
            </w:r>
          </w:p>
        </w:tc>
      </w:tr>
      <w:tr>
        <w:tc>
          <w:tcPr>
            <w:tcW w:type="dxa" w:w="4592"/>
          </w:tcPr>
          <w:p>
            <w:r>
              <w:t>选中基线诊断加速比 kernel/kernel</w:t>
            </w:r>
          </w:p>
        </w:tc>
        <w:tc>
          <w:tcPr>
            <w:tcW w:type="dxa" w:w="4592"/>
          </w:tcPr>
          <w:p>
            <w:r>
              <w:t>8.498617x</w:t>
            </w:r>
          </w:p>
        </w:tc>
      </w:tr>
    </w:tbl>
    <w:p>
      <w:pPr>
        <w:pStyle w:val="af3"/>
      </w:pPr>
      <w:r>
        <w:rPr>
          <w:b w:val="0"/>
        </w:rPr>
        <w:t>Speedup矩阵字段：active/active为主比较；kernel/kernel、baseline-active/candidate-kernel、baseline-kernel/candidate-active为诊断比较。torch_npu helper只在61/80个精度通过case上作为NPU helper基线；选中基线规则为torch_npu通过则选torch_npu，否则选Torch语义实现。</w:t>
      </w:r>
    </w:p>
    <w:p>
      <w:pPr>
        <w:pStyle w:val="af3"/>
      </w:pPr>
      <w:r>
        <w:rPr>
          <w:b w:val="0"/>
        </w:rPr>
        <w:t>历史评测器summary eval_20260612_155910的状态为PERF_REGRESSION，80/80正确，旧字段中的geomean speedup为8.269904x。该字段来自active-window重构前的候选kernel-sum统计；当前交付报告同时给出active-window和kernel-sum两套比较。</w:t>
      </w:r>
    </w:p>
    <w:p>
      <w:pPr>
        <w:pStyle w:val="1"/>
      </w:pPr>
      <w:r>
        <w:rPr>
          <w:b/>
        </w:rPr>
        <w:t>7. 风险与后续优化</w:t>
      </w:r>
    </w:p>
    <w:p>
      <w:pPr>
        <w:pStyle w:val="af3"/>
      </w:pPr>
      <w:r>
        <w:rPr>
          <w:b w:val="0"/>
        </w:rPr>
        <w:t>• 小尺寸双kernel路径的active-window会体现kernel间隙，例如case 3 kernel-sum为6.700 us，active-window为121.500 us。</w:t>
      </w:r>
    </w:p>
    <w:p>
      <w:pPr>
        <w:pStyle w:val="af3"/>
      </w:pPr>
      <w:r>
        <w:rPr>
          <w:b w:val="0"/>
        </w:rPr>
        <w:t>• 当前评测器状态仍为PERF_REGRESSION，后续重点是降低小尺寸active-window和双kernel gap。</w:t>
      </w:r>
    </w:p>
    <w:sectPr w:rsidR="00CA181E" w:rsidRPr="003135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7" w:right="1361" w:bottom="1134" w:left="1361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4367" w:rsidRDefault="00AD4367">
      <w:pPr>
        <w:spacing w:line="240" w:lineRule="auto"/>
      </w:pPr>
      <w:r>
        <w:separator/>
      </w:r>
    </w:p>
  </w:endnote>
  <w:endnote w:type="continuationSeparator" w:id="0">
    <w:p w:rsidR="00AD4367" w:rsidRDefault="00AD43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uawei Sans">
    <w:altName w:val="Cambria"/>
    <w:charset w:val="00"/>
    <w:family w:val="roman"/>
    <w:pitch w:val="default"/>
  </w:font>
  <w:font w:name="Dotum">
    <w:altName w:val="Malgun Gothic"/>
    <w:panose1 w:val="020B0600000101010101"/>
    <w:charset w:val="81"/>
    <w:family w:val="swiss"/>
    <w:pitch w:val="default"/>
    <w:sig w:usb0="00000000" w:usb1="00000000" w:usb2="00000030" w:usb3="00000000" w:csb0="0008009F" w:csb1="00000000"/>
  </w:font>
  <w:font w:name="DotumChe">
    <w:altName w:val="Malgun Gothic"/>
    <w:charset w:val="81"/>
    <w:family w:val="modern"/>
    <w:pitch w:val="default"/>
    <w:sig w:usb0="00000000" w:usb1="00000000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2927"/>
      <w:gridCol w:w="2850"/>
      <w:gridCol w:w="2537"/>
    </w:tblGrid>
    <w:tr w:rsidR="00CA181E">
      <w:trPr>
        <w:trHeight w:val="257"/>
      </w:trPr>
      <w:tc>
        <w:tcPr>
          <w:tcW w:w="1760" w:type="pct"/>
        </w:tcPr>
        <w:p w:rsidR="00CA181E" w:rsidRDefault="00236089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3D115E">
            <w:rPr>
              <w:noProof/>
            </w:rPr>
            <w:t>2026-3-30</w:t>
          </w:r>
          <w:r>
            <w:fldChar w:fldCharType="end"/>
          </w:r>
        </w:p>
      </w:tc>
      <w:tc>
        <w:tcPr>
          <w:tcW w:w="1714" w:type="pct"/>
        </w:tcPr>
        <w:p w:rsidR="00CA181E" w:rsidRDefault="00236089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:rsidR="00CA181E" w:rsidRDefault="00236089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>
              <w:t>1</w:t>
            </w:r>
          </w:fldSimple>
          <w:r>
            <w:rPr>
              <w:rFonts w:hint="eastAsia"/>
            </w:rPr>
            <w:t>页</w:t>
          </w:r>
        </w:p>
      </w:tc>
    </w:tr>
  </w:tbl>
  <w:p w:rsidR="00CA181E" w:rsidRDefault="00CA181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4367" w:rsidRDefault="00AD4367">
      <w:r>
        <w:separator/>
      </w:r>
    </w:p>
  </w:footnote>
  <w:footnote w:type="continuationSeparator" w:id="0">
    <w:p w:rsidR="00AD4367" w:rsidRDefault="00AD4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831"/>
      <w:gridCol w:w="5814"/>
      <w:gridCol w:w="1661"/>
    </w:tblGrid>
    <w:tr w:rsidR="00CA181E">
      <w:trPr>
        <w:cantSplit/>
        <w:trHeight w:hRule="exact" w:val="782"/>
      </w:trPr>
      <w:tc>
        <w:tcPr>
          <w:tcW w:w="500" w:type="pct"/>
        </w:tcPr>
        <w:p w:rsidR="00CA181E" w:rsidRDefault="00236089">
          <w:pPr>
            <w:rPr>
              <w:rFonts w:ascii="Dotum" w:eastAsia="Dotum" w:hAnsi="Dotum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4" name="图片 4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500" w:type="pct"/>
          <w:vAlign w:val="bottom"/>
        </w:tcPr>
        <w:p w:rsidR="00CA181E" w:rsidRDefault="00236089">
          <w:pPr>
            <w:pStyle w:val="a8"/>
            <w:ind w:firstLineChars="300" w:firstLine="54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文档名称</w:t>
          </w:r>
        </w:p>
      </w:tc>
      <w:tc>
        <w:tcPr>
          <w:tcW w:w="1000" w:type="pct"/>
          <w:vAlign w:val="bottom"/>
        </w:tcPr>
        <w:p w:rsidR="00CA181E" w:rsidRDefault="00236089">
          <w:pPr>
            <w:pStyle w:val="a8"/>
            <w:ind w:firstLineChars="350" w:firstLine="63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:rsidR="00CA181E" w:rsidRDefault="00CA181E">
    <w:pPr>
      <w:pStyle w:val="a8"/>
      <w:rPr>
        <w:rFonts w:ascii="DotumChe" w:eastAsia="DotumChe" w:hAnsi="DotumCh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D41A9"/>
    <w:multiLevelType w:val="multilevel"/>
    <w:tmpl w:val="0E0D41A9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41F34BCB"/>
    <w:multiLevelType w:val="multilevel"/>
    <w:tmpl w:val="41F34BCB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3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 w15:restartNumberingAfterBreak="0">
    <w:nsid w:val="674A4A00"/>
    <w:multiLevelType w:val="multilevel"/>
    <w:tmpl w:val="674A4A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3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TM3Yzk3Mjg2MjRjZTNlYTYwNzBjMGFjOWIyZjI1YWEifQ=="/>
  </w:docVars>
  <w:rsids>
    <w:rsidRoot w:val="007162BA"/>
    <w:rsid w:val="00035469"/>
    <w:rsid w:val="0012175A"/>
    <w:rsid w:val="00152B8F"/>
    <w:rsid w:val="00225378"/>
    <w:rsid w:val="00236089"/>
    <w:rsid w:val="00297C48"/>
    <w:rsid w:val="003055E4"/>
    <w:rsid w:val="003073D0"/>
    <w:rsid w:val="00307760"/>
    <w:rsid w:val="00311086"/>
    <w:rsid w:val="003135C0"/>
    <w:rsid w:val="00322719"/>
    <w:rsid w:val="003D115E"/>
    <w:rsid w:val="00425F62"/>
    <w:rsid w:val="00435097"/>
    <w:rsid w:val="0052233A"/>
    <w:rsid w:val="00634265"/>
    <w:rsid w:val="006D6C32"/>
    <w:rsid w:val="007162BA"/>
    <w:rsid w:val="00722577"/>
    <w:rsid w:val="0075012D"/>
    <w:rsid w:val="00775BB5"/>
    <w:rsid w:val="00780144"/>
    <w:rsid w:val="00783187"/>
    <w:rsid w:val="007A6F63"/>
    <w:rsid w:val="007F14E6"/>
    <w:rsid w:val="0080530B"/>
    <w:rsid w:val="0088128E"/>
    <w:rsid w:val="009006AA"/>
    <w:rsid w:val="00A5175E"/>
    <w:rsid w:val="00AD4367"/>
    <w:rsid w:val="00C53AFA"/>
    <w:rsid w:val="00C97D52"/>
    <w:rsid w:val="00CA181E"/>
    <w:rsid w:val="00D16C4C"/>
    <w:rsid w:val="00D356D8"/>
    <w:rsid w:val="00D87114"/>
    <w:rsid w:val="00EE2438"/>
    <w:rsid w:val="00EE58DB"/>
    <w:rsid w:val="00F758B6"/>
    <w:rsid w:val="00FD52B5"/>
    <w:rsid w:val="00FF77C6"/>
    <w:rsid w:val="01034EC1"/>
    <w:rsid w:val="02A77477"/>
    <w:rsid w:val="039A3A70"/>
    <w:rsid w:val="06C54CB0"/>
    <w:rsid w:val="06FF2732"/>
    <w:rsid w:val="0774295E"/>
    <w:rsid w:val="07795951"/>
    <w:rsid w:val="09D8354C"/>
    <w:rsid w:val="0A187F18"/>
    <w:rsid w:val="0A662D47"/>
    <w:rsid w:val="0A821835"/>
    <w:rsid w:val="0B7A69B0"/>
    <w:rsid w:val="0BF63052"/>
    <w:rsid w:val="0F607C6B"/>
    <w:rsid w:val="0F8266D9"/>
    <w:rsid w:val="107677D9"/>
    <w:rsid w:val="10E31443"/>
    <w:rsid w:val="137A2D83"/>
    <w:rsid w:val="138F28CD"/>
    <w:rsid w:val="15C35CF3"/>
    <w:rsid w:val="16787354"/>
    <w:rsid w:val="19807DC9"/>
    <w:rsid w:val="1A7867B1"/>
    <w:rsid w:val="1A9829AF"/>
    <w:rsid w:val="1B281F85"/>
    <w:rsid w:val="1D9E604A"/>
    <w:rsid w:val="1E866B15"/>
    <w:rsid w:val="1EFD1033"/>
    <w:rsid w:val="1FE612D2"/>
    <w:rsid w:val="21C505B5"/>
    <w:rsid w:val="228523E2"/>
    <w:rsid w:val="22D27DF3"/>
    <w:rsid w:val="28A65821"/>
    <w:rsid w:val="28D9041B"/>
    <w:rsid w:val="28DF17A9"/>
    <w:rsid w:val="29B36FC7"/>
    <w:rsid w:val="2BD960B0"/>
    <w:rsid w:val="2CB34E46"/>
    <w:rsid w:val="2CCB63FE"/>
    <w:rsid w:val="2D40250E"/>
    <w:rsid w:val="2E405D27"/>
    <w:rsid w:val="2EA9088F"/>
    <w:rsid w:val="2F032008"/>
    <w:rsid w:val="30E97ADA"/>
    <w:rsid w:val="3316226B"/>
    <w:rsid w:val="33A87724"/>
    <w:rsid w:val="35CC2DD5"/>
    <w:rsid w:val="36C3242E"/>
    <w:rsid w:val="36C626E3"/>
    <w:rsid w:val="37AD6536"/>
    <w:rsid w:val="38A821E7"/>
    <w:rsid w:val="396F2181"/>
    <w:rsid w:val="3B924658"/>
    <w:rsid w:val="3CE138EA"/>
    <w:rsid w:val="3D293205"/>
    <w:rsid w:val="3D2C2220"/>
    <w:rsid w:val="406F78BB"/>
    <w:rsid w:val="418E7D2E"/>
    <w:rsid w:val="41E77C8C"/>
    <w:rsid w:val="45112FEA"/>
    <w:rsid w:val="452F6FF9"/>
    <w:rsid w:val="462F55E2"/>
    <w:rsid w:val="48710EB8"/>
    <w:rsid w:val="49341D31"/>
    <w:rsid w:val="497A30FC"/>
    <w:rsid w:val="49BA72D1"/>
    <w:rsid w:val="4A7C7C0D"/>
    <w:rsid w:val="4D6251F8"/>
    <w:rsid w:val="4E0336C0"/>
    <w:rsid w:val="4EC63E32"/>
    <w:rsid w:val="4EFD5288"/>
    <w:rsid w:val="4FB010F7"/>
    <w:rsid w:val="501E6ED7"/>
    <w:rsid w:val="50681F66"/>
    <w:rsid w:val="55BA680E"/>
    <w:rsid w:val="57C63DAC"/>
    <w:rsid w:val="584E019A"/>
    <w:rsid w:val="5C735EB5"/>
    <w:rsid w:val="60C278DB"/>
    <w:rsid w:val="667E0F44"/>
    <w:rsid w:val="690C3A2E"/>
    <w:rsid w:val="6D286582"/>
    <w:rsid w:val="6E76496C"/>
    <w:rsid w:val="6EBA3E17"/>
    <w:rsid w:val="71B2486A"/>
    <w:rsid w:val="72E1326F"/>
    <w:rsid w:val="72EC0317"/>
    <w:rsid w:val="756B3942"/>
    <w:rsid w:val="766E7155"/>
    <w:rsid w:val="7753605F"/>
    <w:rsid w:val="77855149"/>
    <w:rsid w:val="7B0B1AFD"/>
    <w:rsid w:val="7D6C55CD"/>
    <w:rsid w:val="7DBA0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3F9E6F"/>
  <w15:docId w15:val="{43AA70F7-41D9-4C01-988C-181A4A6F7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rFonts w:ascii="SimSun" w:hAnsi="SimSun" w:eastAsia="SimSun"/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SimSun" w:eastAsia="SimSun" w:hAnsi="SimSun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SimSun" w:eastAsia="SimSun" w:hAnsi="SimSun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1"/>
    <w:next w:val="a1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TOC3">
    <w:name w:val="toc 3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440"/>
    </w:pPr>
    <w:rPr>
      <w:rFonts w:asciiTheme="minorHAnsi" w:eastAsiaTheme="minorEastAsia" w:hAnsiTheme="minorHAnsi"/>
      <w:snapToGrid/>
      <w:sz w:val="22"/>
      <w:szCs w:val="22"/>
    </w:rPr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TOC1">
    <w:name w:val="toc 1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</w:pPr>
    <w:rPr>
      <w:rFonts w:asciiTheme="minorHAnsi" w:eastAsiaTheme="minorEastAsia" w:hAnsiTheme="minorHAnsi"/>
      <w:snapToGrid/>
      <w:sz w:val="22"/>
      <w:szCs w:val="22"/>
    </w:rPr>
  </w:style>
  <w:style w:type="paragraph" w:styleId="TOC2">
    <w:name w:val="toc 2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220"/>
    </w:pPr>
    <w:rPr>
      <w:rFonts w:asciiTheme="minorHAnsi" w:eastAsiaTheme="minorEastAsia" w:hAnsiTheme="minorHAnsi"/>
      <w:snapToGrid/>
      <w:sz w:val="22"/>
      <w:szCs w:val="22"/>
    </w:rPr>
  </w:style>
  <w:style w:type="paragraph" w:styleId="HTML">
    <w:name w:val="HTML Preformatted"/>
    <w:basedOn w:val="a1"/>
    <w:link w:val="HTML0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line="240" w:lineRule="auto"/>
    </w:pPr>
    <w:rPr>
      <w:rFonts w:ascii="宋体" w:hAnsi="宋体" w:cs="宋体"/>
      <w:snapToGrid/>
      <w:sz w:val="24"/>
      <w:szCs w:val="24"/>
    </w:rPr>
  </w:style>
  <w:style w:type="paragraph" w:styleId="a9">
    <w:name w:val="Normal (Web)"/>
    <w:basedOn w:val="a1"/>
    <w:uiPriority w:val="99"/>
    <w:semiHidden/>
    <w:unhideWhenUsed/>
    <w:qFormat/>
    <w:pPr>
      <w:widowControl/>
      <w:autoSpaceDE/>
      <w:autoSpaceDN/>
      <w:adjustRightInd/>
      <w:spacing w:before="100" w:beforeAutospacing="1" w:after="100" w:afterAutospacing="1" w:line="240" w:lineRule="auto"/>
    </w:pPr>
    <w:rPr>
      <w:rFonts w:ascii="宋体" w:hAnsi="宋体" w:cs="宋体"/>
      <w:snapToGrid/>
      <w:sz w:val="24"/>
      <w:szCs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2"/>
    <w:uiPriority w:val="22"/>
    <w:qFormat/>
    <w:rPr>
      <w:b/>
      <w:bCs/>
    </w:rPr>
  </w:style>
  <w:style w:type="character" w:styleId="ac">
    <w:name w:val="FollowedHyperlink"/>
    <w:basedOn w:val="a2"/>
    <w:semiHidden/>
    <w:unhideWhenUsed/>
    <w:qFormat/>
    <w:rPr>
      <w:color w:val="800080" w:themeColor="followedHyperlink"/>
      <w:u w:val="single"/>
    </w:rPr>
  </w:style>
  <w:style w:type="character" w:styleId="ad">
    <w:name w:val="Hyperlink"/>
    <w:basedOn w:val="a2"/>
    <w:uiPriority w:val="99"/>
    <w:semiHidden/>
    <w:unhideWhenUsed/>
    <w:qFormat/>
    <w:rPr>
      <w:color w:val="0000FF"/>
      <w:u w:val="single"/>
    </w:rPr>
  </w:style>
  <w:style w:type="character" w:styleId="HTML1">
    <w:name w:val="HTML Code"/>
    <w:basedOn w:val="a2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f">
    <w:name w:val="表头文本"/>
    <w:qFormat/>
    <w:pPr>
      <w:jc w:val="center"/>
    </w:pPr>
    <w:rPr>
      <w:rFonts w:ascii="Arial" w:hAnsi="Arial"/>
      <w:b/>
      <w:sz w:val="21"/>
      <w:szCs w:val="21"/>
    </w:rPr>
  </w:style>
  <w:style w:type="table" w:customStyle="1" w:styleId="af0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qFormat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f1">
    <w:name w:val="图样式"/>
    <w:basedOn w:val="a1"/>
    <w:qFormat/>
    <w:pPr>
      <w:keepNext/>
      <w:widowControl/>
      <w:spacing w:before="80" w:after="80"/>
      <w:jc w:val="center"/>
    </w:pPr>
  </w:style>
  <w:style w:type="paragraph" w:customStyle="1" w:styleId="af2">
    <w:name w:val="文档标题"/>
    <w:basedOn w:val="a1"/>
    <w:qFormat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3">
    <w:name w:val="正文（首行不缩进）"/>
    <w:basedOn w:val="a1"/>
    <w:qFormat/>
  </w:style>
  <w:style w:type="paragraph" w:customStyle="1" w:styleId="af4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5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6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7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8">
    <w:name w:val="样式二"/>
    <w:basedOn w:val="af7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9">
    <w:name w:val="List Paragraph"/>
    <w:basedOn w:val="a1"/>
    <w:uiPriority w:val="34"/>
    <w:qFormat/>
    <w:pPr>
      <w:ind w:firstLineChars="200" w:firstLine="420"/>
    </w:pPr>
    <w:rPr>
      <w:rFonts w:ascii="SimSun" w:hAnsi="SimSun" w:eastAsia="SimSun"/>
    </w:rPr>
  </w:style>
  <w:style w:type="character" w:customStyle="1" w:styleId="40">
    <w:name w:val="标题 4 字符"/>
    <w:basedOn w:val="a2"/>
    <w:link w:val="4"/>
    <w:semiHidden/>
    <w:qFormat/>
    <w:rPr>
      <w:rFonts w:asciiTheme="majorHAnsi" w:eastAsiaTheme="majorEastAsia" w:hAnsiTheme="majorHAnsi" w:cstheme="majorBidi"/>
      <w:b/>
      <w:bCs/>
      <w:snapToGrid w:val="0"/>
      <w:sz w:val="28"/>
      <w:szCs w:val="28"/>
    </w:rPr>
  </w:style>
  <w:style w:type="character" w:customStyle="1" w:styleId="HTML0">
    <w:name w:val="HTML 预设格式 字符"/>
    <w:basedOn w:val="a2"/>
    <w:link w:val="HTML"/>
    <w:uiPriority w:val="99"/>
    <w:semiHidden/>
    <w:qFormat/>
    <w:rPr>
      <w:rFonts w:ascii="宋体" w:hAnsi="宋体" w:cs="宋体"/>
      <w:sz w:val="24"/>
      <w:szCs w:val="24"/>
    </w:rPr>
  </w:style>
  <w:style w:type="character" w:customStyle="1" w:styleId="hljs-attr">
    <w:name w:val="hljs-attr"/>
    <w:basedOn w:val="a2"/>
    <w:qFormat/>
  </w:style>
  <w:style w:type="character" w:customStyle="1" w:styleId="hljs-string">
    <w:name w:val="hljs-string"/>
    <w:basedOn w:val="a2"/>
    <w:qFormat/>
  </w:style>
  <w:style w:type="character" w:customStyle="1" w:styleId="hljs-meta">
    <w:name w:val="hljs-meta"/>
    <w:basedOn w:val="a2"/>
    <w:qFormat/>
  </w:style>
  <w:style w:type="character" w:customStyle="1" w:styleId="hljs-comment">
    <w:name w:val="hljs-comment"/>
    <w:basedOn w:val="a2"/>
    <w:qFormat/>
  </w:style>
  <w:style w:type="paragraph" w:customStyle="1" w:styleId="TOC10">
    <w:name w:val="TOC 标题1"/>
    <w:basedOn w:val="1"/>
    <w:next w:val="a1"/>
    <w:uiPriority w:val="39"/>
    <w:unhideWhenUsed/>
    <w:qFormat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2</TotalTime>
  <Pages>2</Pages>
  <Words>48</Words>
  <Characters>279</Characters>
  <Application>Microsoft Office Word</Application>
  <DocSecurity>0</DocSecurity>
  <Lines>2</Lines>
  <Paragraphs>1</Paragraphs>
  <ScaleCrop>false</ScaleCrop>
  <Company>Huawei Technologies Co.,Ltd.</Company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Yanyawen</dc:creator>
  <cp:lastModifiedBy>guoyipeng (A)</cp:lastModifiedBy>
  <cp:revision>4</cp:revision>
  <dcterms:created xsi:type="dcterms:W3CDTF">2026-03-30T06:40:00Z</dcterms:created>
  <dcterms:modified xsi:type="dcterms:W3CDTF">2026-03-30T11:56:00Z</dcterms:modified>
  <dc:title>AddRmsNorm算子设计方案</dc:title>
  <dc:subject>Triton-Ascend AddRmsNorm算子设计方案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1540624028</vt:lpwstr>
  </property>
  <property fmtid="{D5CDD505-2E9C-101B-9397-08002B2CF9AE}" pid="13" name="KSOProductBuildVer">
    <vt:lpwstr>2052-12.1.0.23125</vt:lpwstr>
  </property>
  <property fmtid="{D5CDD505-2E9C-101B-9397-08002B2CF9AE}" pid="14" name="ICV">
    <vt:lpwstr>5F5172BAE1CE47EE984D0F00F96E0691_13</vt:lpwstr>
  </property>
  <property fmtid="{D5CDD505-2E9C-101B-9397-08002B2CF9AE}" pid="15" name="KSOTemplateDocerSaveRecord">
    <vt:lpwstr>eyJoZGlkIjoiOTRjZmY0MTgyNzE3ZDIyYzRjYjg3NWQ1NTE1OTIyNGQiLCJ1c2VySWQiOiIxMDIzNDQ5NDAzIn0=</vt:lpwstr>
  </property>
</Properties>
</file>