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rFonts w:ascii="SimSun" w:hAnsi="SimSun" w:eastAsia="SimSun"/>
          <w:b/>
          <w:sz w:val="32"/>
        </w:rPr>
        <w:t>AddRmsNorm算子设计方案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适配硬件：Atlas A2推理系列产品；开发语言：Triton（基于Triton-Ascend）；CANN版本：9.0.0验证环境。</w:t>
      </w:r>
    </w:p>
    <w:p>
      <w:pPr>
        <w:pStyle w:val="1"/>
      </w:pPr>
      <w:r>
        <w:rPr>
          <w:rFonts w:ascii="SimSun" w:hAnsi="SimSun" w:eastAsia="SimSun"/>
          <w:b w:val="0"/>
          <w:sz w:val="20"/>
        </w:rPr>
        <w:t>需求分析</w:t>
      </w:r>
    </w:p>
    <w:p>
      <w:pPr>
        <w:pStyle w:val="2"/>
      </w:pPr>
      <w:r>
        <w:rPr>
          <w:rFonts w:ascii="SimSun" w:hAnsi="SimSun" w:eastAsia="SimSun"/>
          <w:b w:val="0"/>
          <w:sz w:val="20"/>
        </w:rPr>
        <w:t>AddRmsNorm算子现状分析</w:t>
      </w:r>
    </w:p>
    <w:p>
      <w:r>
        <w:rPr>
          <w:rFonts w:ascii="SimSun" w:hAnsi="SimSun" w:eastAsia="SimSun"/>
          <w:b w:val="0"/>
          <w:sz w:val="20"/>
        </w:rPr>
        <w:t>AddRmsNorm用于Transformer类模型中的残差相加与RMS归一化融合计算。CANN接口aclnnAddRmsNorm提供相同核心语义，本任务要求在昇腾NPU上基于Triton-Ascend实现等价功能，并支持bfloat16推理场景。</w:t>
      </w:r>
    </w:p>
    <w:p>
      <w:r>
        <w:rPr>
          <w:rFonts w:ascii="SimSun" w:hAnsi="SimSun" w:eastAsia="SimSun"/>
          <w:b w:val="0"/>
          <w:sz w:val="20"/>
        </w:rPr>
        <w:t>本实现聚焦需求中的yOut输出，计算公式为：z = x1 + x2；yOut = z * rsqrt(mean(z * z, axis=-1, keepdims=True) + epsilon) * gamma。CANN接口中的xOut、rstdOut等辅助输出不属于本次交付范围。</w:t>
      </w:r>
    </w:p>
    <w:p>
      <w:r>
        <w:rPr>
          <w:rFonts w:ascii="SimSun" w:hAnsi="SimSun" w:eastAsia="SimSun"/>
          <w:b w:val="0"/>
          <w:sz w:val="20"/>
        </w:rPr>
        <w:t>当前实现分析、算子整体流程（图）</w:t>
      </w:r>
    </w:p>
    <w:p>
      <w:pPr>
        <w:pStyle w:val="af9"/>
      </w:pPr>
      <w:r>
        <w:rPr>
          <w:rFonts w:ascii="SimSun" w:hAnsi="SimSun" w:eastAsia="SimSun"/>
          <w:sz w:val="20"/>
        </w:rPr>
        <w:t>输入校验：检查x1、x2、gamma均为NPU上的连续BF16三维张量，且形状一致；epsilon必须为正数。</w:t>
      </w:r>
    </w:p>
    <w:p>
      <w:pPr>
        <w:pStyle w:val="af9"/>
      </w:pPr>
      <w:r>
        <w:rPr>
          <w:rFonts w:ascii="SimSun" w:hAnsi="SimSun" w:eastAsia="SimSun"/>
          <w:sz w:val="20"/>
        </w:rPr>
        <w:t>shape展开：将[B,S,H]展平为B*S个独立row，每个row沿hidden维做RMS归一化。</w:t>
      </w:r>
    </w:p>
    <w:p>
      <w:pPr>
        <w:pStyle w:val="af9"/>
      </w:pPr>
      <w:r>
        <w:rPr>
          <w:rFonts w:ascii="SimSun" w:hAnsi="SimSun" w:eastAsia="SimSun"/>
          <w:sz w:val="20"/>
        </w:rPr>
        <w:t>kernel分发：根据H和next_power_of_2(H)选择融合路径、双kernel路径或分块路径。</w:t>
      </w:r>
    </w:p>
    <w:p>
      <w:pPr>
        <w:pStyle w:val="af9"/>
      </w:pPr>
      <w:r>
        <w:rPr>
          <w:rFonts w:ascii="SimSun" w:hAnsi="SimSun" w:eastAsia="SimSun"/>
          <w:sz w:val="20"/>
        </w:rPr>
        <w:t>输出写回：所有计算路径均由Triton-Ascend JIT kernel完成被测计算，并写回BF16 yOut。</w:t>
      </w:r>
    </w:p>
    <w:p>
      <w:pPr>
        <w:pStyle w:val="2"/>
      </w:pPr>
      <w:r>
        <w:rPr>
          <w:rFonts w:ascii="SimSun" w:hAnsi="SimSun" w:eastAsia="SimSun"/>
          <w:b w:val="0"/>
          <w:sz w:val="20"/>
        </w:rPr>
        <w:t>算子原型</w:t>
      </w:r>
    </w:p>
    <w:p>
      <w:r>
        <w:rPr>
          <w:rFonts w:ascii="SimSun" w:hAnsi="SimSun" w:eastAsia="SimSun"/>
          <w:b w:val="0"/>
          <w:sz w:val="20"/>
        </w:rPr>
        <w:t>原型设计（参考）</w:t>
      </w:r>
    </w:p>
    <w:p>
      <w:r>
        <w:rPr>
          <w:rFonts w:ascii="SimSun" w:hAnsi="SimSun" w:eastAsia="SimSun"/>
          <w:b w:val="0"/>
          <w:sz w:val="20"/>
        </w:rPr>
        <w:t>add_rms_norm(x1: Tensor, x2: Tensor, gamma: Tensor, epsilon: float = 1e-6) -&gt; Tensor</w:t>
      </w:r>
    </w:p>
    <w:tbl>
      <w:tblPr>
        <w:tblStyle w:val="aa"/>
        <w:tblW w:type="auto" w:w="0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名称</w:t>
            </w:r>
          </w:p>
        </w:tc>
        <w:tc>
          <w:tcPr>
            <w:tcW w:type="dxa" w:w="183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类别</w:t>
            </w:r>
          </w:p>
        </w:tc>
        <w:tc>
          <w:tcPr>
            <w:tcW w:type="dxa" w:w="183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dtype</w:t>
            </w:r>
          </w:p>
        </w:tc>
        <w:tc>
          <w:tcPr>
            <w:tcW w:type="dxa" w:w="183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shape</w:t>
            </w:r>
          </w:p>
        </w:tc>
        <w:tc>
          <w:tcPr>
            <w:tcW w:type="dxa" w:w="183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8"/>
              </w:rPr>
              <w:t>介绍</w:t>
            </w:r>
          </w:p>
        </w:tc>
      </w:tr>
      <w:tr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x1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输入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bfloat16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[B,S,H]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计算输入Tensor</w:t>
            </w:r>
          </w:p>
        </w:tc>
      </w:tr>
      <w:tr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x2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输入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bfloat16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[B,S,H]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计算输入Tensor</w:t>
            </w:r>
          </w:p>
        </w:tc>
      </w:tr>
      <w:tr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gamma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输入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bfloat16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[B,S,H]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归一化过程使用的权重</w:t>
            </w:r>
          </w:p>
        </w:tc>
      </w:tr>
      <w:tr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epsilon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属性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double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-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归一化过程中防止除0，默认值1e-6</w:t>
            </w:r>
          </w:p>
        </w:tc>
      </w:tr>
      <w:tr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yOut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输出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bfloat16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[B,S,H]</w:t>
            </w:r>
          </w:p>
        </w:tc>
        <w:tc>
          <w:tcPr>
            <w:tcW w:type="dxa" w:w="1837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18"/>
              </w:rPr>
              <w:t>输入相加并归一化后的结果</w:t>
            </w:r>
          </w:p>
        </w:tc>
      </w:tr>
    </w:tbl>
    <w:p>
      <w:r>
        <w:rPr>
          <w:rFonts w:ascii="SimSun" w:hAnsi="SimSun" w:eastAsia="SimSun"/>
          <w:b w:val="0"/>
          <w:sz w:val="20"/>
        </w:rPr>
        <w:t>相关约束</w:t>
      </w:r>
    </w:p>
    <w:p>
      <w:pPr>
        <w:pStyle w:val="af9"/>
      </w:pPr>
      <w:r>
        <w:rPr>
          <w:rFonts w:ascii="SimSun" w:hAnsi="SimSun" w:eastAsia="SimSun"/>
          <w:sz w:val="20"/>
        </w:rPr>
        <w:t>B表示Batch，S表示Sequence Length，H表示HiddenSize。</w:t>
      </w:r>
    </w:p>
    <w:p>
      <w:pPr>
        <w:pStyle w:val="af9"/>
      </w:pPr>
      <w:r>
        <w:rPr>
          <w:rFonts w:ascii="SimSun" w:hAnsi="SimSun" w:eastAsia="SimSun"/>
          <w:sz w:val="20"/>
        </w:rPr>
        <w:t>支持主流推理场景B in {1,8,16,32,64}，H in {3584,4096,5120,8192}，验证材料扩展S in {1,8,32,128}形成80个公开风格用例。</w:t>
      </w:r>
    </w:p>
    <w:p>
      <w:pPr>
        <w:pStyle w:val="af9"/>
      </w:pPr>
      <w:r>
        <w:rPr>
          <w:rFonts w:ascii="SimSun" w:hAnsi="SimSun" w:eastAsia="SimSun"/>
          <w:sz w:val="20"/>
        </w:rPr>
        <w:t>实现不根据公开case id、workload文件名、输入取值、输出模式或计时特征分支。</w:t>
      </w:r>
    </w:p>
    <w:p>
      <w:pPr>
        <w:pStyle w:val="1"/>
      </w:pPr>
      <w:r>
        <w:rPr>
          <w:rFonts w:ascii="SimSun" w:hAnsi="SimSun" w:eastAsia="SimSun"/>
          <w:b w:val="0"/>
          <w:sz w:val="20"/>
        </w:rPr>
        <w:t>需求详细设计（重点）</w:t>
      </w:r>
    </w:p>
    <w:p>
      <w:pPr>
        <w:pStyle w:val="2"/>
      </w:pPr>
      <w:r>
        <w:rPr>
          <w:rFonts w:ascii="SimSun" w:hAnsi="SimSun" w:eastAsia="SimSun"/>
          <w:b w:val="0"/>
          <w:sz w:val="20"/>
        </w:rPr>
        <w:t>需求总体设计</w:t>
      </w:r>
    </w:p>
    <w:p>
      <w:r>
        <w:rPr>
          <w:rFonts w:ascii="SimSun" w:hAnsi="SimSun" w:eastAsia="SimSun"/>
          <w:b w:val="0"/>
          <w:sz w:val="20"/>
        </w:rPr>
        <w:t>算子设计</w:t>
      </w:r>
    </w:p>
    <w:p>
      <w:pPr>
        <w:pStyle w:val="af9"/>
      </w:pPr>
      <w:r>
        <w:rPr>
          <w:rFonts w:ascii="SimSun" w:hAnsi="SimSun" w:eastAsia="SimSun"/>
          <w:sz w:val="20"/>
        </w:rPr>
        <w:t>H &lt;= 4096：使用单个融合Triton kernel，一次加载x1、x2、gamma，在FP32中完成加法、平方和归约、rstd计算以及BF16输出写回。</w:t>
      </w:r>
    </w:p>
    <w:p>
      <w:pPr>
        <w:pStyle w:val="af9"/>
      </w:pPr>
      <w:r>
        <w:rPr>
          <w:rFonts w:ascii="SimSun" w:hAnsi="SimSun" w:eastAsia="SimSun"/>
          <w:sz w:val="20"/>
        </w:rPr>
        <w:t>4096 &lt; H且next_power_of_2(H) &lt;= 8192：使用两个Triton kernel，第一阶段计算每个row的FP32 rstd，第二阶段重新加载输入并写出yOut。该路径降低融合8192宽kernel的片上临时量压力。</w:t>
      </w:r>
    </w:p>
    <w:p>
      <w:pPr>
        <w:pStyle w:val="af9"/>
      </w:pPr>
      <w:r>
        <w:rPr>
          <w:rFonts w:ascii="SimSun" w:hAnsi="SimSun" w:eastAsia="SimSun"/>
          <w:sz w:val="20"/>
        </w:rPr>
        <w:t>next_power_of_2(H) &gt; 8192：使用同后端分块路径，先按8192 hidden元素计算partial sum，再归约得到每行rstd，最后分块apply并写出yOut。该路径用于覆盖H=8320等泛化审计形状。</w:t>
      </w:r>
    </w:p>
    <w:p>
      <w:r>
        <w:rPr>
          <w:rFonts w:ascii="SimSun" w:hAnsi="SimSun" w:eastAsia="SimSun"/>
          <w:b w:val="0"/>
          <w:sz w:val="20"/>
        </w:rPr>
        <w:t>优化思路与策略，以及实现方法</w:t>
      </w:r>
    </w:p>
    <w:p>
      <w:pPr>
        <w:pStyle w:val="af9"/>
      </w:pPr>
      <w:r>
        <w:rPr>
          <w:rFonts w:ascii="SimSun" w:hAnsi="SimSun" w:eastAsia="SimSun"/>
          <w:sz w:val="20"/>
        </w:rPr>
        <w:t>沿hidden维连续访存，保证每个program处理一行或一个连续hidden分块，减少离散访存开销。</w:t>
      </w:r>
    </w:p>
    <w:p>
      <w:pPr>
        <w:pStyle w:val="af9"/>
      </w:pPr>
      <w:r>
        <w:rPr>
          <w:rFonts w:ascii="SimSun" w:hAnsi="SimSun" w:eastAsia="SimSun"/>
          <w:sz w:val="20"/>
        </w:rPr>
        <w:t>归一化统计量使用FP32累加，兼顾BF16输入输出下的L1精度要求。</w:t>
      </w:r>
    </w:p>
    <w:p>
      <w:pPr>
        <w:pStyle w:val="af9"/>
      </w:pPr>
      <w:r>
        <w:rPr>
          <w:rFonts w:ascii="SimSun" w:hAnsi="SimSun" w:eastAsia="SimSun"/>
          <w:sz w:val="20"/>
        </w:rPr>
        <w:t>小H采用融合路径减少kernel launch和全局内存中间结果；较大H采用拆分路径控制Triton-Ascend/BiShengIR片上资源压力。</w:t>
      </w:r>
    </w:p>
    <w:p>
      <w:pPr>
        <w:pStyle w:val="af9"/>
      </w:pPr>
      <w:r>
        <w:rPr>
          <w:rFonts w:ascii="SimSun" w:hAnsi="SimSun" w:eastAsia="SimSun"/>
          <w:sz w:val="20"/>
        </w:rPr>
        <w:t>宽H采用partial-sum/reduce/apply三阶段分块设计，避免把公开H集合写成硬编码能力边界。</w:t>
      </w:r>
    </w:p>
    <w:p>
      <w:pPr>
        <w:pStyle w:val="2"/>
      </w:pPr>
      <w:r>
        <w:rPr>
          <w:rFonts w:ascii="SimSun" w:hAnsi="SimSun" w:eastAsia="SimSun"/>
          <w:b w:val="0"/>
          <w:sz w:val="20"/>
        </w:rPr>
        <w:t>算子约束限制</w:t>
      </w:r>
    </w:p>
    <w:p>
      <w:pPr>
        <w:pStyle w:val="af9"/>
      </w:pPr>
      <w:r>
        <w:rPr>
          <w:rFonts w:ascii="SimSun" w:hAnsi="SimSun" w:eastAsia="SimSun"/>
          <w:sz w:val="20"/>
        </w:rPr>
        <w:t>输入必须为rank-3、连续ND布局、BF16、NPU Tensor，且x1/x2/gamma形状完全一致。</w:t>
      </w:r>
    </w:p>
    <w:p>
      <w:pPr>
        <w:pStyle w:val="af9"/>
      </w:pPr>
      <w:r>
        <w:rPr>
          <w:rFonts w:ascii="SimSun" w:hAnsi="SimSun" w:eastAsia="SimSun"/>
          <w:sz w:val="20"/>
        </w:rPr>
        <w:t>epsilon必须大于0。</w:t>
      </w:r>
    </w:p>
    <w:p>
      <w:pPr>
        <w:pStyle w:val="af9"/>
      </w:pPr>
      <w:r>
        <w:rPr>
          <w:rFonts w:ascii="SimSun" w:hAnsi="SimSun" w:eastAsia="SimSun"/>
          <w:sz w:val="20"/>
        </w:rPr>
        <w:t>极大H场景可能受到workspace大小和chunk数量上限影响；当前交付覆盖需求主流shape及已执行的40个泛化审计case。</w:t>
      </w:r>
    </w:p>
    <w:p>
      <w:pPr>
        <w:pStyle w:val="af9"/>
      </w:pPr>
      <w:r>
        <w:rPr>
          <w:rFonts w:ascii="SimSun" w:hAnsi="SimSun" w:eastAsia="SimSun"/>
          <w:sz w:val="20"/>
        </w:rPr>
        <w:t>被测路径不得调用PyTorch等价计算、torch_npu.npu_add_rms_norm、CANN/vendor AddRmsNorm、CPU fallback、任务golden代码或其他后端解法。</w:t>
      </w:r>
    </w:p>
    <w:p>
      <w:pPr>
        <w:pStyle w:val="1"/>
      </w:pPr>
      <w:r>
        <w:rPr>
          <w:rFonts w:ascii="SimSun" w:hAnsi="SimSun" w:eastAsia="SimSun"/>
          <w:b w:val="0"/>
          <w:sz w:val="20"/>
        </w:rPr>
        <w:t>可维可测分析</w:t>
      </w:r>
    </w:p>
    <w:p>
      <w:pPr>
        <w:pStyle w:val="2"/>
      </w:pPr>
      <w:r>
        <w:rPr>
          <w:rFonts w:ascii="SimSun" w:hAnsi="SimSun" w:eastAsia="SimSun"/>
          <w:b w:val="0"/>
          <w:sz w:val="20"/>
        </w:rPr>
        <w:t>精度标准/性能标准</w:t>
      </w:r>
    </w:p>
    <w:p>
      <w:pPr>
        <w:pStyle w:val="af9"/>
      </w:pPr>
      <w:r>
        <w:rPr>
          <w:rFonts w:ascii="SimSun" w:hAnsi="SimSun" w:eastAsia="SimSun"/>
          <w:sz w:val="20"/>
        </w:rPr>
        <w:t>精度标准：按照BF16 L1级别精度口径检查，阈值为2^-7 = 0.0078125；普通数值位置要求MERE &lt; threshold且MARE &lt; 10 * threshold。</w:t>
      </w:r>
    </w:p>
    <w:p>
      <w:pPr>
        <w:pStyle w:val="af9"/>
      </w:pPr>
      <w:r>
        <w:rPr>
          <w:rFonts w:ascii="SimSun" w:hAnsi="SimSun" w:eastAsia="SimSun"/>
          <w:sz w:val="20"/>
        </w:rPr>
        <w:t>公开评测：OpForge CANN-Bench run eval_20260612_155910，80/80用例正确，失败用例0，total mismatch count为0，max MARE为0.007812499609375021，max diff为0.015625。</w:t>
      </w:r>
    </w:p>
    <w:p>
      <w:pPr>
        <w:pStyle w:val="af9"/>
      </w:pPr>
      <w:r>
        <w:rPr>
          <w:rFonts w:ascii="SimSun" w:hAnsi="SimSun" w:eastAsia="SimSun"/>
          <w:sz w:val="20"/>
        </w:rPr>
        <w:t>性能结果：整体校准geomean speedup为8.269904x，平均耗时56.786125 us，中位耗时15.550000 us，P95耗时225.166000 us。</w:t>
      </w:r>
    </w:p>
    <w:p>
      <w:pPr>
        <w:pStyle w:val="af9"/>
      </w:pPr>
      <w:r>
        <w:rPr>
          <w:rFonts w:ascii="SimSun" w:hAnsi="SimSun" w:eastAsia="SimSun"/>
          <w:sz w:val="20"/>
        </w:rPr>
        <w:t>基线来源：21个用例使用torch_npu.npu_add_rms_norm任务NPU基线，geomean speedup为3.356045x；59个用例使用PyTorch语义fallback基线，geomean speedup为11.400119x。对外表述时需明确该基线来源拆分。</w:t>
      </w:r>
    </w:p>
    <w:p>
      <w:pPr>
        <w:pStyle w:val="af9"/>
      </w:pPr>
      <w:r>
        <w:rPr>
          <w:rFonts w:ascii="SimSun" w:hAnsi="SimSun" w:eastAsia="SimSun"/>
          <w:sz w:val="20"/>
        </w:rPr>
        <w:t>泛化审计：manual_generalization_audit_40_fixed_20260612_155512，40/40通过，失败用例0。</w:t>
      </w:r>
    </w:p>
    <w:sectPr w:rsidR="00CA181E" w:rsidRPr="003135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47" w:right="1361" w:bottom="1134" w:left="1361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4367" w:rsidRDefault="00AD4367">
      <w:pPr>
        <w:spacing w:line="240" w:lineRule="auto"/>
      </w:pPr>
      <w:r>
        <w:separator/>
      </w:r>
    </w:p>
  </w:endnote>
  <w:endnote w:type="continuationSeparator" w:id="0">
    <w:p w:rsidR="00AD4367" w:rsidRDefault="00AD4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uawei Sans">
    <w:altName w:val="Cambria"/>
    <w:charset w:val="00"/>
    <w:family w:val="roman"/>
    <w:pitch w:val="default"/>
  </w:font>
  <w:font w:name="Dotu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DotumChe">
    <w:altName w:val="Malgun Gothic"/>
    <w:charset w:val="81"/>
    <w:family w:val="modern"/>
    <w:pitch w:val="default"/>
    <w:sig w:usb0="00000000" w:usb1="00000000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927"/>
      <w:gridCol w:w="2850"/>
      <w:gridCol w:w="2537"/>
    </w:tblGrid>
    <w:tr w:rsidR="00CA181E">
      <w:trPr>
        <w:trHeight w:val="257"/>
      </w:trPr>
      <w:tc>
        <w:tcPr>
          <w:tcW w:w="1760" w:type="pct"/>
        </w:tcPr>
        <w:p w:rsidR="00CA181E" w:rsidRDefault="00236089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3D115E">
            <w:rPr>
              <w:noProof/>
            </w:rPr>
            <w:t>2026-3-30</w:t>
          </w:r>
          <w:r>
            <w:fldChar w:fldCharType="end"/>
          </w:r>
        </w:p>
      </w:tc>
      <w:tc>
        <w:tcPr>
          <w:tcW w:w="1714" w:type="pct"/>
        </w:tcPr>
        <w:p w:rsidR="00CA181E" w:rsidRDefault="00236089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CA181E" w:rsidRDefault="00236089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>
              <w:t>1</w:t>
            </w:r>
          </w:fldSimple>
          <w:r>
            <w:rPr>
              <w:rFonts w:hint="eastAsia"/>
            </w:rPr>
            <w:t>页</w:t>
          </w:r>
        </w:p>
      </w:tc>
    </w:tr>
  </w:tbl>
  <w:p w:rsidR="00CA181E" w:rsidRDefault="00CA181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4367" w:rsidRDefault="00AD4367">
      <w:r>
        <w:separator/>
      </w:r>
    </w:p>
  </w:footnote>
  <w:footnote w:type="continuationSeparator" w:id="0">
    <w:p w:rsidR="00AD4367" w:rsidRDefault="00AD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831"/>
      <w:gridCol w:w="5814"/>
      <w:gridCol w:w="1661"/>
    </w:tblGrid>
    <w:tr w:rsidR="00CA181E">
      <w:trPr>
        <w:cantSplit/>
        <w:trHeight w:hRule="exact" w:val="782"/>
      </w:trPr>
      <w:tc>
        <w:tcPr>
          <w:tcW w:w="500" w:type="pct"/>
        </w:tcPr>
        <w:p w:rsidR="00CA181E" w:rsidRDefault="00236089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500" w:type="pct"/>
          <w:vAlign w:val="bottom"/>
        </w:tcPr>
        <w:p w:rsidR="00CA181E" w:rsidRDefault="00236089">
          <w:pPr>
            <w:pStyle w:val="a8"/>
            <w:ind w:firstLineChars="300" w:firstLine="54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CA181E" w:rsidRDefault="00236089">
          <w:pPr>
            <w:pStyle w:val="a8"/>
            <w:ind w:firstLineChars="350" w:firstLine="630"/>
            <w:rPr>
              <w:rFonts w:ascii="宋体" w:hAnsi="宋体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:rsidR="00CA181E" w:rsidRDefault="00CA181E">
    <w:pPr>
      <w:pStyle w:val="a8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A181E" w:rsidRDefault="00CA181E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D41A9"/>
    <w:multiLevelType w:val="multilevel"/>
    <w:tmpl w:val="0E0D41A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1F34BCB"/>
    <w:multiLevelType w:val="multilevel"/>
    <w:tmpl w:val="41F34BCB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674A4A00"/>
    <w:multiLevelType w:val="multilevel"/>
    <w:tmpl w:val="674A4A0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3Yzk3Mjg2MjRjZTNlYTYwNzBjMGFjOWIyZjI1YWEifQ=="/>
  </w:docVars>
  <w:rsids>
    <w:rsidRoot w:val="007162BA"/>
    <w:rsid w:val="00035469"/>
    <w:rsid w:val="0012175A"/>
    <w:rsid w:val="00152B8F"/>
    <w:rsid w:val="00225378"/>
    <w:rsid w:val="00236089"/>
    <w:rsid w:val="00297C48"/>
    <w:rsid w:val="003055E4"/>
    <w:rsid w:val="003073D0"/>
    <w:rsid w:val="00307760"/>
    <w:rsid w:val="00311086"/>
    <w:rsid w:val="003135C0"/>
    <w:rsid w:val="00322719"/>
    <w:rsid w:val="003D115E"/>
    <w:rsid w:val="00425F62"/>
    <w:rsid w:val="00435097"/>
    <w:rsid w:val="0052233A"/>
    <w:rsid w:val="00634265"/>
    <w:rsid w:val="006D6C32"/>
    <w:rsid w:val="007162BA"/>
    <w:rsid w:val="00722577"/>
    <w:rsid w:val="0075012D"/>
    <w:rsid w:val="00775BB5"/>
    <w:rsid w:val="00780144"/>
    <w:rsid w:val="00783187"/>
    <w:rsid w:val="007A6F63"/>
    <w:rsid w:val="007F14E6"/>
    <w:rsid w:val="0080530B"/>
    <w:rsid w:val="0088128E"/>
    <w:rsid w:val="009006AA"/>
    <w:rsid w:val="00A5175E"/>
    <w:rsid w:val="00AD4367"/>
    <w:rsid w:val="00C53AFA"/>
    <w:rsid w:val="00C97D52"/>
    <w:rsid w:val="00CA181E"/>
    <w:rsid w:val="00D16C4C"/>
    <w:rsid w:val="00D356D8"/>
    <w:rsid w:val="00D87114"/>
    <w:rsid w:val="00EE2438"/>
    <w:rsid w:val="00EE58DB"/>
    <w:rsid w:val="00F758B6"/>
    <w:rsid w:val="00FD52B5"/>
    <w:rsid w:val="00FF77C6"/>
    <w:rsid w:val="01034EC1"/>
    <w:rsid w:val="02A77477"/>
    <w:rsid w:val="039A3A70"/>
    <w:rsid w:val="06C54CB0"/>
    <w:rsid w:val="06FF2732"/>
    <w:rsid w:val="0774295E"/>
    <w:rsid w:val="07795951"/>
    <w:rsid w:val="09D8354C"/>
    <w:rsid w:val="0A187F18"/>
    <w:rsid w:val="0A662D47"/>
    <w:rsid w:val="0A821835"/>
    <w:rsid w:val="0B7A69B0"/>
    <w:rsid w:val="0BF63052"/>
    <w:rsid w:val="0F607C6B"/>
    <w:rsid w:val="0F8266D9"/>
    <w:rsid w:val="107677D9"/>
    <w:rsid w:val="10E31443"/>
    <w:rsid w:val="137A2D83"/>
    <w:rsid w:val="138F28CD"/>
    <w:rsid w:val="15C35CF3"/>
    <w:rsid w:val="16787354"/>
    <w:rsid w:val="19807DC9"/>
    <w:rsid w:val="1A7867B1"/>
    <w:rsid w:val="1A9829AF"/>
    <w:rsid w:val="1B281F85"/>
    <w:rsid w:val="1D9E604A"/>
    <w:rsid w:val="1E866B15"/>
    <w:rsid w:val="1EFD1033"/>
    <w:rsid w:val="1FE612D2"/>
    <w:rsid w:val="21C505B5"/>
    <w:rsid w:val="228523E2"/>
    <w:rsid w:val="22D27DF3"/>
    <w:rsid w:val="28A65821"/>
    <w:rsid w:val="28D9041B"/>
    <w:rsid w:val="28DF17A9"/>
    <w:rsid w:val="29B36FC7"/>
    <w:rsid w:val="2BD960B0"/>
    <w:rsid w:val="2CB34E46"/>
    <w:rsid w:val="2CCB63FE"/>
    <w:rsid w:val="2D40250E"/>
    <w:rsid w:val="2E405D27"/>
    <w:rsid w:val="2EA9088F"/>
    <w:rsid w:val="2F032008"/>
    <w:rsid w:val="30E97ADA"/>
    <w:rsid w:val="3316226B"/>
    <w:rsid w:val="33A87724"/>
    <w:rsid w:val="35CC2DD5"/>
    <w:rsid w:val="36C3242E"/>
    <w:rsid w:val="36C626E3"/>
    <w:rsid w:val="37AD6536"/>
    <w:rsid w:val="38A821E7"/>
    <w:rsid w:val="396F2181"/>
    <w:rsid w:val="3B924658"/>
    <w:rsid w:val="3CE138EA"/>
    <w:rsid w:val="3D293205"/>
    <w:rsid w:val="3D2C2220"/>
    <w:rsid w:val="406F78BB"/>
    <w:rsid w:val="418E7D2E"/>
    <w:rsid w:val="41E77C8C"/>
    <w:rsid w:val="45112FEA"/>
    <w:rsid w:val="452F6FF9"/>
    <w:rsid w:val="462F55E2"/>
    <w:rsid w:val="48710EB8"/>
    <w:rsid w:val="49341D31"/>
    <w:rsid w:val="497A30FC"/>
    <w:rsid w:val="49BA72D1"/>
    <w:rsid w:val="4A7C7C0D"/>
    <w:rsid w:val="4D6251F8"/>
    <w:rsid w:val="4E0336C0"/>
    <w:rsid w:val="4EC63E32"/>
    <w:rsid w:val="4EFD5288"/>
    <w:rsid w:val="4FB010F7"/>
    <w:rsid w:val="501E6ED7"/>
    <w:rsid w:val="50681F66"/>
    <w:rsid w:val="55BA680E"/>
    <w:rsid w:val="57C63DAC"/>
    <w:rsid w:val="584E019A"/>
    <w:rsid w:val="5C735EB5"/>
    <w:rsid w:val="60C278DB"/>
    <w:rsid w:val="667E0F44"/>
    <w:rsid w:val="690C3A2E"/>
    <w:rsid w:val="6D286582"/>
    <w:rsid w:val="6E76496C"/>
    <w:rsid w:val="6EBA3E17"/>
    <w:rsid w:val="71B2486A"/>
    <w:rsid w:val="72E1326F"/>
    <w:rsid w:val="72EC0317"/>
    <w:rsid w:val="756B3942"/>
    <w:rsid w:val="766E7155"/>
    <w:rsid w:val="7753605F"/>
    <w:rsid w:val="77855149"/>
    <w:rsid w:val="7B0B1AFD"/>
    <w:rsid w:val="7D6C55CD"/>
    <w:rsid w:val="7DBA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3F9E6F"/>
  <w15:docId w15:val="{43AA70F7-41D9-4C01-988C-181A4A6F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rFonts w:ascii="SimSun" w:hAnsi="SimSun" w:eastAsia="SimSun"/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SimSun" w:eastAsia="SimSun" w:hAnsi="SimSun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SimSun" w:eastAsia="SimSun" w:hAnsi="SimSun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3">
    <w:name w:val="toc 3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440"/>
    </w:pPr>
    <w:rPr>
      <w:rFonts w:asciiTheme="minorHAnsi" w:eastAsiaTheme="minorEastAsia" w:hAnsiTheme="minorHAnsi"/>
      <w:snapToGrid/>
      <w:sz w:val="22"/>
      <w:szCs w:val="22"/>
    </w:rPr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</w:pPr>
    <w:rPr>
      <w:rFonts w:asciiTheme="minorHAnsi" w:eastAsiaTheme="minorEastAsia" w:hAnsiTheme="minorHAnsi"/>
      <w:snapToGrid/>
      <w:sz w:val="22"/>
      <w:szCs w:val="22"/>
    </w:rPr>
  </w:style>
  <w:style w:type="paragraph" w:styleId="TOC2">
    <w:name w:val="toc 2"/>
    <w:basedOn w:val="a1"/>
    <w:next w:val="a1"/>
    <w:uiPriority w:val="39"/>
    <w:unhideWhenUsed/>
    <w:qFormat/>
    <w:pPr>
      <w:widowControl/>
      <w:autoSpaceDE/>
      <w:autoSpaceDN/>
      <w:adjustRightInd/>
      <w:spacing w:after="100" w:line="259" w:lineRule="auto"/>
      <w:ind w:left="220"/>
    </w:pPr>
    <w:rPr>
      <w:rFonts w:asciiTheme="minorHAnsi" w:eastAsiaTheme="minorEastAsia" w:hAnsiTheme="minorHAnsi"/>
      <w:snapToGrid/>
      <w:sz w:val="22"/>
      <w:szCs w:val="22"/>
    </w:rPr>
  </w:style>
  <w:style w:type="paragraph" w:styleId="HTML">
    <w:name w:val="HTML Preformatted"/>
    <w:basedOn w:val="a1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paragraph" w:styleId="a9">
    <w:name w:val="Normal (Web)"/>
    <w:basedOn w:val="a1"/>
    <w:uiPriority w:val="99"/>
    <w:semiHidden/>
    <w:unhideWhenUsed/>
    <w:qFormat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2"/>
    <w:uiPriority w:val="22"/>
    <w:qFormat/>
    <w:rPr>
      <w:b/>
      <w:bCs/>
    </w:rPr>
  </w:style>
  <w:style w:type="character" w:styleId="ac">
    <w:name w:val="FollowedHyperlink"/>
    <w:basedOn w:val="a2"/>
    <w:semiHidden/>
    <w:unhideWhenUsed/>
    <w:qFormat/>
    <w:rPr>
      <w:color w:val="800080" w:themeColor="followedHyperlink"/>
      <w:u w:val="single"/>
    </w:rPr>
  </w:style>
  <w:style w:type="character" w:styleId="ad">
    <w:name w:val="Hyperlink"/>
    <w:basedOn w:val="a2"/>
    <w:uiPriority w:val="99"/>
    <w:semiHidden/>
    <w:unhideWhenUsed/>
    <w:qFormat/>
    <w:rPr>
      <w:color w:val="0000FF"/>
      <w:u w:val="single"/>
    </w:rPr>
  </w:style>
  <w:style w:type="character" w:styleId="HTML1">
    <w:name w:val="HTML Code"/>
    <w:basedOn w:val="a2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f">
    <w:name w:val="表头文本"/>
    <w:qFormat/>
    <w:pPr>
      <w:jc w:val="center"/>
    </w:pPr>
    <w:rPr>
      <w:rFonts w:ascii="Arial" w:hAnsi="Arial"/>
      <w:b/>
      <w:sz w:val="21"/>
      <w:szCs w:val="21"/>
    </w:rPr>
  </w:style>
  <w:style w:type="table" w:customStyle="1" w:styleId="af0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qFormat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f1">
    <w:name w:val="图样式"/>
    <w:basedOn w:val="a1"/>
    <w:qFormat/>
    <w:pPr>
      <w:keepNext/>
      <w:widowControl/>
      <w:spacing w:before="80" w:after="80"/>
      <w:jc w:val="center"/>
    </w:pPr>
  </w:style>
  <w:style w:type="paragraph" w:customStyle="1" w:styleId="af2">
    <w:name w:val="文档标题"/>
    <w:basedOn w:val="a1"/>
    <w:qFormat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3">
    <w:name w:val="正文（首行不缩进）"/>
    <w:basedOn w:val="a1"/>
    <w:qFormat/>
  </w:style>
  <w:style w:type="paragraph" w:customStyle="1" w:styleId="af4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5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6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7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8">
    <w:name w:val="样式二"/>
    <w:basedOn w:val="af7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9">
    <w:name w:val="List Paragraph"/>
    <w:basedOn w:val="a1"/>
    <w:uiPriority w:val="34"/>
    <w:qFormat/>
    <w:pPr>
      <w:ind w:firstLineChars="200" w:firstLine="420"/>
    </w:pPr>
    <w:rPr>
      <w:rFonts w:ascii="SimSun" w:hAnsi="SimSun" w:eastAsia="SimSun"/>
    </w:rPr>
  </w:style>
  <w:style w:type="character" w:customStyle="1" w:styleId="40">
    <w:name w:val="标题 4 字符"/>
    <w:basedOn w:val="a2"/>
    <w:link w:val="4"/>
    <w:semiHidden/>
    <w:qFormat/>
    <w:rPr>
      <w:rFonts w:asciiTheme="majorHAnsi" w:eastAsiaTheme="majorEastAsia" w:hAnsiTheme="majorHAnsi" w:cstheme="majorBidi"/>
      <w:b/>
      <w:bCs/>
      <w:snapToGrid w:val="0"/>
      <w:sz w:val="28"/>
      <w:szCs w:val="28"/>
    </w:rPr>
  </w:style>
  <w:style w:type="character" w:customStyle="1" w:styleId="HTML0">
    <w:name w:val="HTML 预设格式 字符"/>
    <w:basedOn w:val="a2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ljs-attr">
    <w:name w:val="hljs-attr"/>
    <w:basedOn w:val="a2"/>
    <w:qFormat/>
  </w:style>
  <w:style w:type="character" w:customStyle="1" w:styleId="hljs-string">
    <w:name w:val="hljs-string"/>
    <w:basedOn w:val="a2"/>
    <w:qFormat/>
  </w:style>
  <w:style w:type="character" w:customStyle="1" w:styleId="hljs-meta">
    <w:name w:val="hljs-meta"/>
    <w:basedOn w:val="a2"/>
    <w:qFormat/>
  </w:style>
  <w:style w:type="character" w:customStyle="1" w:styleId="hljs-comment">
    <w:name w:val="hljs-comment"/>
    <w:basedOn w:val="a2"/>
    <w:qFormat/>
  </w:style>
  <w:style w:type="paragraph" w:customStyle="1" w:styleId="TOC10">
    <w:name w:val="TOC 标题1"/>
    <w:basedOn w:val="1"/>
    <w:next w:val="a1"/>
    <w:uiPriority w:val="39"/>
    <w:unhideWhenUsed/>
    <w:qFormat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2</TotalTime>
  <Pages>2</Pages>
  <Words>48</Words>
  <Characters>279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Yanyawen</dc:creator>
  <cp:lastModifiedBy>guoyipeng (A)</cp:lastModifiedBy>
  <cp:revision>4</cp:revision>
  <dcterms:created xsi:type="dcterms:W3CDTF">2026-03-30T06:40:00Z</dcterms:created>
  <dcterms:modified xsi:type="dcterms:W3CDTF">2026-03-30T11:56:00Z</dcterms:modified>
  <dc:title>AddRmsNorm算子设计方案</dc:title>
  <dc:subject>Triton-Ascend AddRmsNorm算子设计方案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  <property fmtid="{D5CDD505-2E9C-101B-9397-08002B2CF9AE}" pid="13" name="KSOProductBuildVer">
    <vt:lpwstr>2052-12.1.0.23125</vt:lpwstr>
  </property>
  <property fmtid="{D5CDD505-2E9C-101B-9397-08002B2CF9AE}" pid="14" name="ICV">
    <vt:lpwstr>5F5172BAE1CE47EE984D0F00F96E0691_13</vt:lpwstr>
  </property>
  <property fmtid="{D5CDD505-2E9C-101B-9397-08002B2CF9AE}" pid="15" name="KSOTemplateDocerSaveRecord">
    <vt:lpwstr>eyJoZGlkIjoiOTRjZmY0MTgyNzE3ZDIyYzRjYjg3NWQ1NTE1OTIyNGQiLCJ1c2VySWQiOiIxMDIzNDQ5NDAzIn0=</vt:lpwstr>
  </property>
</Properties>
</file>