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DynamicQuant 算子设计方案</w:t>
      </w:r>
    </w:p>
    <w:p>
      <w:r>
        <w:t>本文档基于 OpForge/CANN-Bench 证据自动整理，用于 Triton-Ascend-Kernels 风格交付。</w:t>
      </w:r>
    </w:p>
    <w:p>
      <w:pPr>
        <w:pStyle w:val="Heading1"/>
      </w:pPr>
      <w:r>
        <w:t>1. 算子功能</w:t>
      </w:r>
    </w:p>
    <w:p>
      <w:r>
        <w:t>DynamicQuant 对 BF16 [B, S, H] 输入沿 hidden 维进行 per-token symmetric dynamic quantization，输出 int8 storage 的量化张量以及 FP32 scale。dst_type=int4 时输出为 unpacked logical int4 值域 [-8, 7]。</w:t>
      </w:r>
    </w:p>
    <w:p>
      <w:pPr>
        <w:pStyle w:val="Heading1"/>
      </w:pPr>
      <w:r>
        <w:t>2. 输入输出约束</w:t>
      </w:r>
    </w:p>
    <w:p>
      <w:r>
        <w:t>输入 x 必须为 NPU 上连续 BF16 rank-3 tensor；dst_type 支持 int8/int4；输出 output 与 x 同形状，scale 形状为 [B, S]。</w:t>
      </w:r>
    </w:p>
    <w:p>
      <w:pPr>
        <w:pStyle w:val="Heading1"/>
      </w:pPr>
      <w:r>
        <w:t>3. 核心调度</w:t>
      </w:r>
    </w:p>
    <w:p>
      <w:r>
        <w:t>hidden&lt;=8192 使用 exact-row kernel；rows&gt;48 使用 48-program row-stride；hidden&gt;8192 使用 BLOCK_H=4096 的两阶段 chunk loop，并按 hidden divisibility 选择 no-tail 或 tail-safe 路径。</w:t>
      </w:r>
    </w:p>
    <w:p>
      <w:pPr>
        <w:pStyle w:val="Heading1"/>
      </w:pPr>
      <w:r>
        <w:t>4. 无 fallback 边界</w:t>
      </w:r>
    </w:p>
    <w:p>
      <w:r>
        <w:t>被测 dynamic_quant 只调用本目录 Triton-Ascend kernel，不调用 PyTorch、torch_npu、CANN/vendor DynamicQuant、CPU、任务 golden 或其他 backend。</w:t>
      </w:r>
    </w:p>
    <w:p>
      <w:pPr>
        <w:pStyle w:val="Heading1"/>
      </w:pPr>
      <w:r>
        <w:t>5. 当前证据状态</w:t>
      </w:r>
    </w:p>
    <w:p>
      <w:r>
        <w:t>选定版本 eval_20260616_233746 public 40/40 正确，active/active geomean 8.154336x，但 OpForge 状态仍为 PERF_REGRESSION，active regression cases 为 4, 8, 17。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run_id</w:t>
            </w:r>
          </w:p>
        </w:tc>
        <w:tc>
          <w:tcPr>
            <w:tcW w:type="dxa" w:w="4320"/>
          </w:tcPr>
          <w:p>
            <w:r>
              <w:t>eval_20260616_233746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PERF_REGRESSION</w:t>
            </w:r>
          </w:p>
        </w:tc>
      </w:tr>
      <w:tr>
        <w:tc>
          <w:tcPr>
            <w:tcW w:type="dxa" w:w="4320"/>
          </w:tcPr>
          <w:p>
            <w:r>
              <w:t>public correctness</w:t>
            </w:r>
          </w:p>
        </w:tc>
        <w:tc>
          <w:tcPr>
            <w:tcW w:type="dxa" w:w="4320"/>
          </w:tcPr>
          <w:p>
            <w:r>
              <w:t>40/40</w:t>
            </w:r>
          </w:p>
        </w:tc>
      </w:tr>
      <w:tr>
        <w:tc>
          <w:tcPr>
            <w:tcW w:type="dxa" w:w="4320"/>
          </w:tcPr>
          <w:p>
            <w:r>
              <w:t>active_vs_active geomean</w:t>
            </w:r>
          </w:p>
        </w:tc>
        <w:tc>
          <w:tcPr>
            <w:tcW w:type="dxa" w:w="4320"/>
          </w:tcPr>
          <w:p>
            <w:r>
              <w:t>8.154336x</w:t>
            </w:r>
          </w:p>
        </w:tc>
      </w:tr>
      <w:tr>
        <w:tc>
          <w:tcPr>
            <w:tcW w:type="dxa" w:w="4320"/>
          </w:tcPr>
          <w:p>
            <w:r>
              <w:t>kernel_vs_kernel geomean</w:t>
            </w:r>
          </w:p>
        </w:tc>
        <w:tc>
          <w:tcPr>
            <w:tcW w:type="dxa" w:w="4320"/>
          </w:tcPr>
          <w:p>
            <w:r>
              <w:t>3.899296x</w:t>
            </w:r>
          </w:p>
        </w:tc>
      </w:tr>
      <w:tr>
        <w:tc>
          <w:tcPr>
            <w:tcW w:type="dxa" w:w="4320"/>
          </w:tcPr>
          <w:p>
            <w:r>
              <w:t>baseline split</w:t>
            </w:r>
          </w:p>
        </w:tc>
        <w:tc>
          <w:tcPr>
            <w:tcW w:type="dxa" w:w="4320"/>
          </w:tcPr>
          <w:p>
            <w:r>
              <w:t>task_npu_baseline=19, pytorch_fallback=21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